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81" w:rsidRPr="00982D13" w:rsidRDefault="005A3981" w:rsidP="005A3981">
      <w:pPr>
        <w:keepNext/>
        <w:keepLines/>
        <w:spacing w:before="260" w:after="260" w:line="415" w:lineRule="auto"/>
        <w:outlineLvl w:val="1"/>
        <w:rPr>
          <w:rFonts w:ascii="宋体" w:eastAsia="宋体" w:hAnsi="宋体" w:cs="Times New Roman"/>
          <w:b/>
          <w:bCs/>
          <w:color w:val="FF0000"/>
          <w:sz w:val="36"/>
          <w:szCs w:val="36"/>
        </w:rPr>
      </w:pPr>
      <w:bookmarkStart w:id="0" w:name="_Toc7398044"/>
      <w:r w:rsidRPr="00982D13">
        <w:rPr>
          <w:rFonts w:ascii="宋体" w:eastAsia="宋体" w:hAnsi="宋体" w:cs="Times New Roman" w:hint="eastAsia"/>
          <w:b/>
          <w:bCs/>
          <w:color w:val="FF0000"/>
          <w:sz w:val="36"/>
          <w:szCs w:val="36"/>
        </w:rPr>
        <w:t>123《国家税务总局关于贯彻落实企业所得税法若干税收问题的通知》</w:t>
      </w:r>
      <w:bookmarkEnd w:id="0"/>
    </w:p>
    <w:p w:rsidR="005A3981" w:rsidRPr="001E0AE1" w:rsidRDefault="005A3981" w:rsidP="005A3981">
      <w:pPr>
        <w:widowControl/>
        <w:shd w:val="clear" w:color="auto" w:fill="FFFFFF"/>
        <w:spacing w:line="450" w:lineRule="atLeast"/>
        <w:jc w:val="center"/>
        <w:rPr>
          <w:rFonts w:asciiTheme="minorEastAsia" w:hAnsiTheme="minorEastAsia" w:cs="宋体"/>
          <w:color w:val="FF0000"/>
          <w:kern w:val="0"/>
          <w:sz w:val="24"/>
          <w:szCs w:val="24"/>
        </w:rPr>
      </w:pPr>
      <w:r w:rsidRPr="001E0AE1">
        <w:rPr>
          <w:rFonts w:asciiTheme="minorEastAsia" w:hAnsiTheme="minorEastAsia" w:hint="eastAsia"/>
          <w:color w:val="333333"/>
          <w:sz w:val="24"/>
          <w:szCs w:val="24"/>
        </w:rPr>
        <w:t>国税函[2010]79号</w:t>
      </w:r>
    </w:p>
    <w:p w:rsidR="005A3981" w:rsidRDefault="005A3981" w:rsidP="005A3981">
      <w:pPr>
        <w:widowControl/>
        <w:shd w:val="clear" w:color="auto" w:fill="FFFFFF"/>
        <w:spacing w:line="450" w:lineRule="atLeast"/>
        <w:rPr>
          <w:rFonts w:asciiTheme="majorEastAsia" w:eastAsiaTheme="majorEastAsia" w:hAnsiTheme="majorEastAsia" w:cs="宋体"/>
          <w:color w:val="FF0000"/>
          <w:kern w:val="0"/>
          <w:sz w:val="36"/>
          <w:szCs w:val="36"/>
        </w:rPr>
      </w:pPr>
    </w:p>
    <w:p w:rsidR="00560F0F" w:rsidRPr="005A3981" w:rsidRDefault="005A3981" w:rsidP="005A3981">
      <w:r>
        <w:rPr>
          <w:rFonts w:hint="eastAsia"/>
          <w:color w:val="333333"/>
        </w:rPr>
        <w:t>各省、自治区、直辖市和计划单列市国家税务局、地方税务局：</w:t>
      </w:r>
      <w:r>
        <w:rPr>
          <w:rFonts w:hint="eastAsia"/>
          <w:color w:val="333333"/>
        </w:rPr>
        <w:t xml:space="preserve"> </w:t>
      </w:r>
      <w:r>
        <w:rPr>
          <w:rFonts w:hint="eastAsia"/>
          <w:color w:val="333333"/>
        </w:rPr>
        <w:br/>
        <w:t>    </w:t>
      </w:r>
      <w:r>
        <w:rPr>
          <w:rFonts w:hint="eastAsia"/>
          <w:color w:val="333333"/>
        </w:rPr>
        <w:t>根据《中华人民共和国企业所得税法》（以下简称企业所得税法）和《中华人民共和国企业所得税法实施条例》（以下简称《实施条例》）的有关规定，现就贯彻落实企业所得税法过程中若干问题，通知如下：</w:t>
      </w:r>
      <w:r>
        <w:rPr>
          <w:rFonts w:hint="eastAsia"/>
          <w:color w:val="333333"/>
        </w:rPr>
        <w:br/>
        <w:t>    </w:t>
      </w:r>
      <w:r>
        <w:rPr>
          <w:rFonts w:hint="eastAsia"/>
          <w:color w:val="333333"/>
        </w:rPr>
        <w:t>一、关于租金收入确认问题</w:t>
      </w:r>
      <w:r>
        <w:rPr>
          <w:rFonts w:hint="eastAsia"/>
          <w:color w:val="333333"/>
        </w:rPr>
        <w:br/>
        <w:t>    </w:t>
      </w:r>
      <w:r>
        <w:rPr>
          <w:rFonts w:hint="eastAsia"/>
          <w:color w:val="333333"/>
        </w:rPr>
        <w:t>根据《实施条例》第十九条的规定，企业提供固定资产、包装物或者其他有形资产的使用权取得的租金收入，应按交易合同或协议规定的承租人应付租金的日期确认收入的实现。其中，如果交易合同或协议中规定租赁期限跨年度，且租金提前一次性支付的，根据《实施条例》第九条规定的收入与费用配比原则，出租人可对上述已确认的收入，在租赁期内，分期均匀计入相关年度收入。</w:t>
      </w:r>
      <w:r>
        <w:rPr>
          <w:rFonts w:hint="eastAsia"/>
          <w:color w:val="333333"/>
        </w:rPr>
        <w:br/>
        <w:t>    </w:t>
      </w:r>
      <w:r>
        <w:rPr>
          <w:rFonts w:hint="eastAsia"/>
          <w:color w:val="333333"/>
        </w:rPr>
        <w:t>出租方如为在我国境内设有机构场所、且采取据实申报缴纳企业所得的非居民企业，也按本条规定执行。</w:t>
      </w:r>
      <w:r>
        <w:rPr>
          <w:rFonts w:hint="eastAsia"/>
          <w:color w:val="333333"/>
        </w:rPr>
        <w:br/>
        <w:t>    </w:t>
      </w:r>
      <w:r>
        <w:rPr>
          <w:rFonts w:hint="eastAsia"/>
          <w:color w:val="333333"/>
        </w:rPr>
        <w:t>二、关于债务重组收入确认问题</w:t>
      </w:r>
      <w:r>
        <w:rPr>
          <w:rFonts w:hint="eastAsia"/>
          <w:color w:val="333333"/>
        </w:rPr>
        <w:br/>
        <w:t>    </w:t>
      </w:r>
      <w:r>
        <w:rPr>
          <w:rFonts w:hint="eastAsia"/>
          <w:color w:val="333333"/>
        </w:rPr>
        <w:t>企业发生债务重组，应在债务重组合同或协议生效时确认收入的实现。</w:t>
      </w:r>
      <w:r>
        <w:rPr>
          <w:rFonts w:hint="eastAsia"/>
          <w:color w:val="333333"/>
        </w:rPr>
        <w:br/>
        <w:t>    </w:t>
      </w:r>
      <w:r>
        <w:rPr>
          <w:rFonts w:hint="eastAsia"/>
          <w:color w:val="333333"/>
        </w:rPr>
        <w:t>三、关于股权转让所得确认和计算问题</w:t>
      </w:r>
      <w:r>
        <w:rPr>
          <w:rFonts w:hint="eastAsia"/>
          <w:color w:val="333333"/>
        </w:rPr>
        <w:br/>
        <w:t>    </w:t>
      </w:r>
      <w:r>
        <w:rPr>
          <w:rFonts w:hint="eastAsia"/>
          <w:color w:val="333333"/>
        </w:rPr>
        <w:t>企业转让股权收入，应于转让协议生效、且完成股权变更手续时，确认收入的实现。转让股权收入扣除为取得该股权所发生的成本后，为股权转让所得。企业在计算股权转让所得时，不得扣除被投资企业未分配利润等股东留存收益中按该项股权所可能分配的金额。</w:t>
      </w:r>
      <w:r>
        <w:rPr>
          <w:rFonts w:hint="eastAsia"/>
          <w:color w:val="333333"/>
        </w:rPr>
        <w:br/>
        <w:t>    </w:t>
      </w:r>
      <w:r>
        <w:rPr>
          <w:rFonts w:hint="eastAsia"/>
          <w:color w:val="333333"/>
        </w:rPr>
        <w:t>四、关于股息、红利等权益性投资收益收入确认问题</w:t>
      </w:r>
      <w:r>
        <w:rPr>
          <w:rFonts w:hint="eastAsia"/>
          <w:color w:val="333333"/>
        </w:rPr>
        <w:br/>
        <w:t>    </w:t>
      </w:r>
      <w:r>
        <w:rPr>
          <w:rFonts w:hint="eastAsia"/>
          <w:color w:val="333333"/>
        </w:rPr>
        <w:t>企业权益性投资取得股息、红利等收入，应以被投资企业股东会或股东大会</w:t>
      </w:r>
      <w:proofErr w:type="gramStart"/>
      <w:r>
        <w:rPr>
          <w:rFonts w:hint="eastAsia"/>
          <w:color w:val="333333"/>
        </w:rPr>
        <w:t>作出</w:t>
      </w:r>
      <w:proofErr w:type="gramEnd"/>
      <w:r>
        <w:rPr>
          <w:rFonts w:hint="eastAsia"/>
          <w:color w:val="333333"/>
        </w:rPr>
        <w:t>利润分配或转</w:t>
      </w:r>
      <w:proofErr w:type="gramStart"/>
      <w:r>
        <w:rPr>
          <w:rFonts w:hint="eastAsia"/>
          <w:color w:val="333333"/>
        </w:rPr>
        <w:t>股决定</w:t>
      </w:r>
      <w:proofErr w:type="gramEnd"/>
      <w:r>
        <w:rPr>
          <w:rFonts w:hint="eastAsia"/>
          <w:color w:val="333333"/>
        </w:rPr>
        <w:t>的日期，确定收入的实现。</w:t>
      </w:r>
      <w:r>
        <w:rPr>
          <w:rFonts w:hint="eastAsia"/>
          <w:color w:val="333333"/>
        </w:rPr>
        <w:br/>
        <w:t>    </w:t>
      </w:r>
      <w:r>
        <w:rPr>
          <w:rFonts w:hint="eastAsia"/>
          <w:color w:val="333333"/>
        </w:rPr>
        <w:t>被投资企业将股权（票）溢价所形成的资本公积转为股本的，不作为投资方企业的股息、红利收入，投资方企业也不得增加该项长期投资的计税基础。</w:t>
      </w:r>
      <w:r>
        <w:rPr>
          <w:rFonts w:hint="eastAsia"/>
          <w:color w:val="333333"/>
        </w:rPr>
        <w:br/>
        <w:t>    </w:t>
      </w:r>
      <w:r>
        <w:rPr>
          <w:rFonts w:hint="eastAsia"/>
          <w:color w:val="333333"/>
        </w:rPr>
        <w:t>五、关于固定资产投入使用后计税基础确定问题</w:t>
      </w:r>
      <w:r>
        <w:rPr>
          <w:rFonts w:hint="eastAsia"/>
          <w:color w:val="333333"/>
        </w:rPr>
        <w:br/>
        <w:t>    </w:t>
      </w:r>
      <w:r>
        <w:rPr>
          <w:rFonts w:hint="eastAsia"/>
          <w:color w:val="333333"/>
        </w:rPr>
        <w:t>企业固定资产投入使用后，由于工程款项尚未</w:t>
      </w:r>
      <w:proofErr w:type="gramStart"/>
      <w:r>
        <w:rPr>
          <w:rFonts w:hint="eastAsia"/>
          <w:color w:val="333333"/>
        </w:rPr>
        <w:t>结清未</w:t>
      </w:r>
      <w:proofErr w:type="gramEnd"/>
      <w:r>
        <w:rPr>
          <w:rFonts w:hint="eastAsia"/>
          <w:color w:val="333333"/>
        </w:rPr>
        <w:t>取得全额发票的，可暂按合同规定的金额计入固定资产计税基础计提折旧，待发票取得后进行调整。但该项调整应在固定资产投入使用后</w:t>
      </w:r>
      <w:r>
        <w:rPr>
          <w:rFonts w:hint="eastAsia"/>
          <w:color w:val="333333"/>
        </w:rPr>
        <w:t>12</w:t>
      </w:r>
      <w:r>
        <w:rPr>
          <w:rFonts w:hint="eastAsia"/>
          <w:color w:val="333333"/>
        </w:rPr>
        <w:t>个月内进行。</w:t>
      </w:r>
      <w:r>
        <w:rPr>
          <w:rFonts w:hint="eastAsia"/>
          <w:color w:val="333333"/>
        </w:rPr>
        <w:br/>
        <w:t>    </w:t>
      </w:r>
      <w:r>
        <w:rPr>
          <w:rFonts w:hint="eastAsia"/>
          <w:color w:val="333333"/>
        </w:rPr>
        <w:t>六、关于免税收入所对应的费用扣除问题</w:t>
      </w:r>
      <w:r>
        <w:rPr>
          <w:rFonts w:hint="eastAsia"/>
          <w:color w:val="333333"/>
        </w:rPr>
        <w:br/>
        <w:t>    </w:t>
      </w:r>
      <w:r>
        <w:rPr>
          <w:rFonts w:hint="eastAsia"/>
          <w:color w:val="333333"/>
        </w:rPr>
        <w:t>根据《实施条例》第二十七条、第二十八条的规定，企业取得的各项免税收入所对应的各项成本费用，除另有规定者外，可以在计算企业应纳税所得额时扣除。</w:t>
      </w:r>
      <w:r>
        <w:rPr>
          <w:rFonts w:hint="eastAsia"/>
          <w:color w:val="333333"/>
        </w:rPr>
        <w:br/>
        <w:t>    </w:t>
      </w:r>
      <w:r>
        <w:rPr>
          <w:rFonts w:hint="eastAsia"/>
          <w:color w:val="333333"/>
        </w:rPr>
        <w:t>七、企业筹办期间不计算为亏损年度问题</w:t>
      </w:r>
      <w:r>
        <w:rPr>
          <w:rFonts w:hint="eastAsia"/>
          <w:color w:val="333333"/>
        </w:rPr>
        <w:br/>
        <w:t>    </w:t>
      </w:r>
      <w:r>
        <w:rPr>
          <w:rFonts w:hint="eastAsia"/>
          <w:color w:val="333333"/>
        </w:rPr>
        <w:t>企业自开始生产经营的年度，为开始计算企业损益的年度。企业从事生产经营之前进行筹办活动期间发生筹办费用支出，不得计算为当期的亏损，应按照《国家税务总局关于企业所得税若干税务事项衔接问题的通知》（国税函</w:t>
      </w:r>
      <w:r>
        <w:rPr>
          <w:rFonts w:hint="eastAsia"/>
          <w:color w:val="333333"/>
        </w:rPr>
        <w:t>[2009]98</w:t>
      </w:r>
      <w:r>
        <w:rPr>
          <w:rFonts w:hint="eastAsia"/>
          <w:color w:val="333333"/>
        </w:rPr>
        <w:t>号）第九条规定执行。</w:t>
      </w:r>
      <w:r>
        <w:rPr>
          <w:rFonts w:hint="eastAsia"/>
          <w:color w:val="333333"/>
        </w:rPr>
        <w:br/>
        <w:t>    </w:t>
      </w:r>
      <w:r>
        <w:rPr>
          <w:rFonts w:hint="eastAsia"/>
          <w:color w:val="333333"/>
        </w:rPr>
        <w:t>八、从事股权投资业务的企业业务招待费计算问题</w:t>
      </w:r>
      <w:r>
        <w:rPr>
          <w:rFonts w:hint="eastAsia"/>
          <w:color w:val="333333"/>
        </w:rPr>
        <w:br/>
      </w:r>
      <w:r>
        <w:rPr>
          <w:rFonts w:hint="eastAsia"/>
          <w:color w:val="333333"/>
        </w:rPr>
        <w:lastRenderedPageBreak/>
        <w:t>    </w:t>
      </w:r>
      <w:r>
        <w:rPr>
          <w:rFonts w:hint="eastAsia"/>
          <w:color w:val="333333"/>
        </w:rPr>
        <w:t>对从事股权投资业务的企业（包括集团公司总部、创业投资企业等），其从被投资企业所分配的股息、红利以及股权转让收入，可以按规定的比例计算业务招待费扣除限额。</w:t>
      </w:r>
      <w:r>
        <w:rPr>
          <w:rFonts w:hint="eastAsia"/>
          <w:color w:val="333333"/>
        </w:rPr>
        <w:br/>
      </w:r>
      <w:r>
        <w:rPr>
          <w:rFonts w:hint="eastAsia"/>
          <w:color w:val="333333"/>
        </w:rPr>
        <w:br/>
      </w:r>
      <w:r>
        <w:rPr>
          <w:rFonts w:hint="eastAsia"/>
          <w:color w:val="333333"/>
        </w:rPr>
        <w:br/>
        <w:t>    </w:t>
      </w:r>
      <w:r>
        <w:rPr>
          <w:rFonts w:hint="eastAsia"/>
          <w:color w:val="333333"/>
        </w:rPr>
        <w:br/>
      </w:r>
      <w:bookmarkStart w:id="1" w:name="_GoBack"/>
      <w:bookmarkEnd w:id="1"/>
    </w:p>
    <w:sectPr w:rsidR="00560F0F" w:rsidRPr="005A39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46385"/>
    <w:multiLevelType w:val="multilevel"/>
    <w:tmpl w:val="4AC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1"/>
  </w:num>
  <w:num w:numId="5">
    <w:abstractNumId w:val="7"/>
  </w:num>
  <w:num w:numId="6">
    <w:abstractNumId w:val="6"/>
  </w:num>
  <w:num w:numId="7">
    <w:abstractNumId w:val="1"/>
  </w:num>
  <w:num w:numId="8">
    <w:abstractNumId w:val="8"/>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3030DD"/>
    <w:rsid w:val="00372A9F"/>
    <w:rsid w:val="003A1BA9"/>
    <w:rsid w:val="004C794F"/>
    <w:rsid w:val="00532DBA"/>
    <w:rsid w:val="00560F0F"/>
    <w:rsid w:val="005610C9"/>
    <w:rsid w:val="005A3981"/>
    <w:rsid w:val="008610D7"/>
    <w:rsid w:val="008757E4"/>
    <w:rsid w:val="008B49B1"/>
    <w:rsid w:val="00910B99"/>
    <w:rsid w:val="00922528"/>
    <w:rsid w:val="009A54DD"/>
    <w:rsid w:val="00A06782"/>
    <w:rsid w:val="00AA7C3E"/>
    <w:rsid w:val="00AE2F2B"/>
    <w:rsid w:val="00BE7ACF"/>
    <w:rsid w:val="00CA6AF3"/>
    <w:rsid w:val="00D20098"/>
    <w:rsid w:val="00D70AFF"/>
    <w:rsid w:val="00DB11BC"/>
    <w:rsid w:val="00E22FE7"/>
    <w:rsid w:val="00E535B0"/>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Company>CHINA</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2019-04-29T02:42:00Z</dcterms:created>
  <dcterms:modified xsi:type="dcterms:W3CDTF">2019-04-29T02:42:00Z</dcterms:modified>
</cp:coreProperties>
</file>