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9A6" w:rsidRPr="003711F6" w:rsidRDefault="00B669A6" w:rsidP="00B669A6">
      <w:pPr>
        <w:keepNext/>
        <w:keepLines/>
        <w:spacing w:before="260" w:after="260" w:line="415" w:lineRule="auto"/>
        <w:outlineLvl w:val="1"/>
        <w:rPr>
          <w:rFonts w:ascii="Cambria" w:eastAsia="宋体" w:hAnsi="Cambria" w:cs="Times New Roman"/>
          <w:b/>
          <w:bCs/>
          <w:color w:val="FF0000"/>
          <w:sz w:val="36"/>
          <w:szCs w:val="36"/>
        </w:rPr>
      </w:pPr>
      <w:bookmarkStart w:id="0" w:name="_Toc7398048"/>
      <w:r w:rsidRPr="003711F6">
        <w:rPr>
          <w:rFonts w:ascii="Cambria" w:eastAsia="宋体" w:hAnsi="Cambria" w:cs="Times New Roman" w:hint="eastAsia"/>
          <w:b/>
          <w:bCs/>
          <w:color w:val="FF0000"/>
          <w:sz w:val="36"/>
          <w:szCs w:val="36"/>
        </w:rPr>
        <w:t>127</w:t>
      </w:r>
      <w:r w:rsidRPr="003711F6">
        <w:rPr>
          <w:rFonts w:ascii="宋体" w:eastAsia="宋体" w:hAnsi="宋体" w:cs="Times New Roman" w:hint="eastAsia"/>
          <w:b/>
          <w:bCs/>
          <w:color w:val="FF0000"/>
          <w:sz w:val="36"/>
          <w:szCs w:val="36"/>
        </w:rPr>
        <w:t>《国家税务总局关于固定资产加速折旧税收政策有关问题的公告》</w:t>
      </w:r>
      <w:bookmarkEnd w:id="0"/>
    </w:p>
    <w:p w:rsidR="00B669A6" w:rsidRPr="003711F6" w:rsidRDefault="00B669A6" w:rsidP="00B669A6">
      <w:pPr>
        <w:widowControl/>
        <w:shd w:val="clear" w:color="auto" w:fill="FFFFFF"/>
        <w:spacing w:line="540" w:lineRule="atLeast"/>
        <w:ind w:right="960"/>
        <w:jc w:val="center"/>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国家税务总局公告2014年第64号</w:t>
      </w:r>
    </w:p>
    <w:p w:rsidR="00B669A6" w:rsidRPr="003711F6" w:rsidRDefault="00B669A6" w:rsidP="00B669A6">
      <w:pPr>
        <w:widowControl/>
        <w:numPr>
          <w:ilvl w:val="0"/>
          <w:numId w:val="13"/>
        </w:numPr>
        <w:shd w:val="clear" w:color="auto" w:fill="FFFFFF"/>
        <w:spacing w:line="540" w:lineRule="atLeast"/>
        <w:ind w:left="360"/>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为落实国务院完善固定资产加速折旧政策，促进企业技术改造，支持创业创新，根据《中华人民共和国企业所得税法》（以下简称企业所得税法）及其实施条例、《财政部 国家税务总局关于完善固定资产加速折旧企业所得税政策的通知》（财税〔2014〕75号）规定，现就落实完善固定资产加速折旧企业所得税政策有关问题公告如下：</w:t>
      </w:r>
      <w:r w:rsidRPr="003711F6">
        <w:rPr>
          <w:rFonts w:ascii="宋体" w:eastAsia="宋体" w:hAnsi="宋体" w:cs="宋体" w:hint="eastAsia"/>
          <w:color w:val="333333"/>
          <w:kern w:val="0"/>
          <w:sz w:val="24"/>
          <w:szCs w:val="24"/>
        </w:rPr>
        <w:br/>
        <w:t xml:space="preserve">  一、对生物药品制造业，专用设备制造业，铁路、船舶、航空航天和其他运输设备制造业，计算机、通信和其他电子设备制造业，仪器仪表制造业，信息传输、软件和信息技术服务业等行业企业（以下简称六大行业），2014年1月1日后购进的固定资产（包括自行建造），允许按不低于企业所得税法规定折旧年限的60%缩短折旧年限，或选择采取双倍余额递减法或年数总和法进行加速折旧。</w:t>
      </w:r>
      <w:r w:rsidRPr="003711F6">
        <w:rPr>
          <w:rFonts w:ascii="宋体" w:eastAsia="宋体" w:hAnsi="宋体" w:cs="宋体" w:hint="eastAsia"/>
          <w:color w:val="333333"/>
          <w:kern w:val="0"/>
          <w:sz w:val="24"/>
          <w:szCs w:val="24"/>
        </w:rPr>
        <w:br/>
        <w:t xml:space="preserve">  六大行业按照国家统计局《国民经济行业分类与代码（GB/4754-2011）》确定。今后国家有关部门更新国民经济行业分类与代码，从其规定。</w:t>
      </w:r>
      <w:r w:rsidRPr="003711F6">
        <w:rPr>
          <w:rFonts w:ascii="宋体" w:eastAsia="宋体" w:hAnsi="宋体" w:cs="宋体" w:hint="eastAsia"/>
          <w:color w:val="333333"/>
          <w:kern w:val="0"/>
          <w:sz w:val="24"/>
          <w:szCs w:val="24"/>
        </w:rPr>
        <w:br/>
        <w:t xml:space="preserve">  六大行业企业是指以上述行业业务为主营业务，其固定资产投入使用当年主营业务收入占企业收入总额50%（不含）以上的企业。所称收入总额，是指企业所得税法第六条规定的收入总额。</w:t>
      </w:r>
      <w:r w:rsidRPr="003711F6">
        <w:rPr>
          <w:rFonts w:ascii="宋体" w:eastAsia="宋体" w:hAnsi="宋体" w:cs="宋体" w:hint="eastAsia"/>
          <w:color w:val="333333"/>
          <w:kern w:val="0"/>
          <w:sz w:val="24"/>
          <w:szCs w:val="24"/>
        </w:rPr>
        <w:br/>
        <w:t xml:space="preserve">  二、企业在2014年1月1日后购进并专门用于研发活动的仪器、设备，单位价值不超过100万元的，可以一次性在计算应纳税所得额时扣除；单位价值超过100万元的，允许按不低于企业所得税法规定折旧年限的60%缩短折旧年限，或选择采取双倍余额递减法或年数总和法进行加速折旧。</w:t>
      </w:r>
      <w:r w:rsidRPr="003711F6">
        <w:rPr>
          <w:rFonts w:ascii="宋体" w:eastAsia="宋体" w:hAnsi="宋体" w:cs="宋体" w:hint="eastAsia"/>
          <w:color w:val="333333"/>
          <w:kern w:val="0"/>
          <w:sz w:val="24"/>
          <w:szCs w:val="24"/>
        </w:rPr>
        <w:br/>
        <w:t xml:space="preserve">  用于研发活动的仪器、设备范围口径，按照《国家税务总局关于印发（企</w:t>
      </w:r>
      <w:r w:rsidRPr="003711F6">
        <w:rPr>
          <w:rFonts w:ascii="宋体" w:eastAsia="宋体" w:hAnsi="宋体" w:cs="宋体" w:hint="eastAsia"/>
          <w:color w:val="333333"/>
          <w:kern w:val="0"/>
          <w:sz w:val="24"/>
          <w:szCs w:val="24"/>
        </w:rPr>
        <w:lastRenderedPageBreak/>
        <w:t>业研究开发费用税前扣除管理办法（试行））的通知》（国税发〔2008〕116号）或《科学技术部 财政部 国家税务总局关于印发（高新技术企业认定管理工作指引）的通知》（国科发火〔2008〕362号）规定执行。</w:t>
      </w:r>
      <w:r w:rsidRPr="003711F6">
        <w:rPr>
          <w:rFonts w:ascii="宋体" w:eastAsia="宋体" w:hAnsi="宋体" w:cs="宋体" w:hint="eastAsia"/>
          <w:color w:val="333333"/>
          <w:kern w:val="0"/>
          <w:sz w:val="24"/>
          <w:szCs w:val="24"/>
        </w:rPr>
        <w:br/>
        <w:t xml:space="preserve">  企业专门用于研发活动的仪器、设备已享受上述优惠政策的，在享受研发费加计扣除时，按照《国家税务总局关于印发（企业研发费用税前扣除管理办法（试行））的通知》（国税发〔2008〕116号）、《财政部 国家税务总局关于研究开发费用税前加计扣除有关政策问题的通知》（财税 〔2013〕70号）的规定，就已经进行会计处理的折旧、费用等金额进行加计扣除。</w:t>
      </w:r>
      <w:r w:rsidRPr="003711F6">
        <w:rPr>
          <w:rFonts w:ascii="宋体" w:eastAsia="宋体" w:hAnsi="宋体" w:cs="宋体" w:hint="eastAsia"/>
          <w:color w:val="333333"/>
          <w:kern w:val="0"/>
          <w:sz w:val="24"/>
          <w:szCs w:val="24"/>
        </w:rPr>
        <w:br/>
        <w:t xml:space="preserve">  六大行业中的小型微利企业研发和生产经营共用的仪器、设备，可以执行本条第一、二款的规定。所称小型微利企业，是指企业所得税法第二十八条规定的小型微利企业。</w:t>
      </w:r>
      <w:r w:rsidRPr="003711F6">
        <w:rPr>
          <w:rFonts w:ascii="宋体" w:eastAsia="宋体" w:hAnsi="宋体" w:cs="宋体" w:hint="eastAsia"/>
          <w:color w:val="333333"/>
          <w:kern w:val="0"/>
          <w:sz w:val="24"/>
          <w:szCs w:val="24"/>
        </w:rPr>
        <w:br/>
        <w:t xml:space="preserve">  三、企业持有的固定资产，单位价值不超过5000元的，可以一次性在计算应纳税所得额时扣除。企业在2013年12月31日前持有的单位价值不超过5000元的固定资产，</w:t>
      </w:r>
      <w:proofErr w:type="gramStart"/>
      <w:r w:rsidRPr="003711F6">
        <w:rPr>
          <w:rFonts w:ascii="宋体" w:eastAsia="宋体" w:hAnsi="宋体" w:cs="宋体" w:hint="eastAsia"/>
          <w:color w:val="333333"/>
          <w:kern w:val="0"/>
          <w:sz w:val="24"/>
          <w:szCs w:val="24"/>
        </w:rPr>
        <w:t>其折余</w:t>
      </w:r>
      <w:proofErr w:type="gramEnd"/>
      <w:r w:rsidRPr="003711F6">
        <w:rPr>
          <w:rFonts w:ascii="宋体" w:eastAsia="宋体" w:hAnsi="宋体" w:cs="宋体" w:hint="eastAsia"/>
          <w:color w:val="333333"/>
          <w:kern w:val="0"/>
          <w:sz w:val="24"/>
          <w:szCs w:val="24"/>
        </w:rPr>
        <w:t>价值部分，2014年1月1日以后可以一次性在计算应纳税所得额时扣除。</w:t>
      </w:r>
      <w:r w:rsidRPr="003711F6">
        <w:rPr>
          <w:rFonts w:ascii="宋体" w:eastAsia="宋体" w:hAnsi="宋体" w:cs="宋体" w:hint="eastAsia"/>
          <w:color w:val="333333"/>
          <w:kern w:val="0"/>
          <w:sz w:val="24"/>
          <w:szCs w:val="24"/>
        </w:rPr>
        <w:br/>
        <w:t xml:space="preserve">  四、企业采取缩短折旧年限方法的，对其购置的新固定资产，最低折旧年限不得低于企业所得税法实施条例第六十条规定的折旧年限的60％；企业购置已使用过的固定资产，其最低折旧年限不得低于实施条例规定的最低折旧年限减去已使用年限后剩余年限的60%.最低折旧年限一经确定，一般不得变更。</w:t>
      </w:r>
      <w:r w:rsidRPr="003711F6">
        <w:rPr>
          <w:rFonts w:ascii="宋体" w:eastAsia="宋体" w:hAnsi="宋体" w:cs="宋体" w:hint="eastAsia"/>
          <w:color w:val="333333"/>
          <w:kern w:val="0"/>
          <w:sz w:val="24"/>
          <w:szCs w:val="24"/>
        </w:rPr>
        <w:br/>
        <w:t xml:space="preserve">  五、企业的固定资产采取加速折旧方法的，可以采用双倍余额递减</w:t>
      </w:r>
      <w:proofErr w:type="gramStart"/>
      <w:r w:rsidRPr="003711F6">
        <w:rPr>
          <w:rFonts w:ascii="宋体" w:eastAsia="宋体" w:hAnsi="宋体" w:cs="宋体" w:hint="eastAsia"/>
          <w:color w:val="333333"/>
          <w:kern w:val="0"/>
          <w:sz w:val="24"/>
          <w:szCs w:val="24"/>
        </w:rPr>
        <w:t>法或者</w:t>
      </w:r>
      <w:proofErr w:type="gramEnd"/>
      <w:r w:rsidRPr="003711F6">
        <w:rPr>
          <w:rFonts w:ascii="宋体" w:eastAsia="宋体" w:hAnsi="宋体" w:cs="宋体" w:hint="eastAsia"/>
          <w:color w:val="333333"/>
          <w:kern w:val="0"/>
          <w:sz w:val="24"/>
          <w:szCs w:val="24"/>
        </w:rPr>
        <w:t>年数总和法。加速折旧方法一经确定，一般不得变更。</w:t>
      </w:r>
      <w:r w:rsidRPr="003711F6">
        <w:rPr>
          <w:rFonts w:ascii="宋体" w:eastAsia="宋体" w:hAnsi="宋体" w:cs="宋体" w:hint="eastAsia"/>
          <w:color w:val="333333"/>
          <w:kern w:val="0"/>
          <w:sz w:val="24"/>
          <w:szCs w:val="24"/>
        </w:rPr>
        <w:br/>
        <w:t xml:space="preserve">  所称双倍余额递减</w:t>
      </w:r>
      <w:proofErr w:type="gramStart"/>
      <w:r w:rsidRPr="003711F6">
        <w:rPr>
          <w:rFonts w:ascii="宋体" w:eastAsia="宋体" w:hAnsi="宋体" w:cs="宋体" w:hint="eastAsia"/>
          <w:color w:val="333333"/>
          <w:kern w:val="0"/>
          <w:sz w:val="24"/>
          <w:szCs w:val="24"/>
        </w:rPr>
        <w:t>法或者</w:t>
      </w:r>
      <w:proofErr w:type="gramEnd"/>
      <w:r w:rsidRPr="003711F6">
        <w:rPr>
          <w:rFonts w:ascii="宋体" w:eastAsia="宋体" w:hAnsi="宋体" w:cs="宋体" w:hint="eastAsia"/>
          <w:color w:val="333333"/>
          <w:kern w:val="0"/>
          <w:sz w:val="24"/>
          <w:szCs w:val="24"/>
        </w:rPr>
        <w:t>年数总和法，按照《国家税务总局关于企业固定资产加速折旧所得税处理有关问题的通知》（国税发〔2009〕81号）第四条的规定执行。</w:t>
      </w:r>
      <w:r w:rsidRPr="003711F6">
        <w:rPr>
          <w:rFonts w:ascii="宋体" w:eastAsia="宋体" w:hAnsi="宋体" w:cs="宋体" w:hint="eastAsia"/>
          <w:color w:val="333333"/>
          <w:kern w:val="0"/>
          <w:sz w:val="24"/>
          <w:szCs w:val="24"/>
        </w:rPr>
        <w:br/>
      </w:r>
      <w:r w:rsidRPr="003711F6">
        <w:rPr>
          <w:rFonts w:ascii="宋体" w:eastAsia="宋体" w:hAnsi="宋体" w:cs="宋体" w:hint="eastAsia"/>
          <w:color w:val="333333"/>
          <w:kern w:val="0"/>
          <w:sz w:val="24"/>
          <w:szCs w:val="24"/>
        </w:rPr>
        <w:lastRenderedPageBreak/>
        <w:t xml:space="preserve">  六、企业的固定资产既符合本公告优惠政策条件，同时又符合《国家税务总局关于企业固定资产加速折旧所得税处理有关问题的通知》（国税发〔2009〕81号）、《财政部 国家税务总局关于进一步鼓励软件产业和集成电路产业发展企业所得税政策的通知》（财税〔2012〕27号）中相关加速折旧政策条件的，可由企业选择其中最优惠的政策执行，且一经选择，不得改变。</w:t>
      </w:r>
      <w:r w:rsidRPr="003711F6">
        <w:rPr>
          <w:rFonts w:ascii="宋体" w:eastAsia="宋体" w:hAnsi="宋体" w:cs="宋体" w:hint="eastAsia"/>
          <w:color w:val="333333"/>
          <w:kern w:val="0"/>
          <w:sz w:val="24"/>
          <w:szCs w:val="24"/>
        </w:rPr>
        <w:br/>
        <w:t xml:space="preserve">  七、企业固定资产采取一次性税前扣除、缩短折旧年限或加速折旧方法的，预缴申报时，须同时报送《固定资产加速折旧（扣除）预缴情况统计表》（见附件1），年度申报时，实行事后备案管理，并按要求报送相关资料。</w:t>
      </w:r>
      <w:r w:rsidRPr="003711F6">
        <w:rPr>
          <w:rFonts w:ascii="宋体" w:eastAsia="宋体" w:hAnsi="宋体" w:cs="宋体" w:hint="eastAsia"/>
          <w:color w:val="333333"/>
          <w:kern w:val="0"/>
          <w:sz w:val="24"/>
          <w:szCs w:val="24"/>
        </w:rPr>
        <w:br/>
        <w:t xml:space="preserve">  企业应将购进固定资产的发票、记账凭证等有关凭证、凭据（购入已使用过的固定资产，应提供已使用年限的相关说明）等资料留存备查，并应建立台账，准确核算税法与会计差异情况。</w:t>
      </w:r>
      <w:r w:rsidRPr="003711F6">
        <w:rPr>
          <w:rFonts w:ascii="宋体" w:eastAsia="宋体" w:hAnsi="宋体" w:cs="宋体" w:hint="eastAsia"/>
          <w:color w:val="333333"/>
          <w:kern w:val="0"/>
          <w:sz w:val="24"/>
          <w:szCs w:val="24"/>
        </w:rPr>
        <w:br/>
        <w:t xml:space="preserve">  主管税务机关应对适用本公告规定优惠政策的企业加强后续管理，对预缴申报时享受了优惠政策的企业，年终汇算清缴时应对企业全年主营业务收入占企业收入总额的比例进行重点审核。</w:t>
      </w:r>
      <w:r w:rsidRPr="003711F6">
        <w:rPr>
          <w:rFonts w:ascii="宋体" w:eastAsia="宋体" w:hAnsi="宋体" w:cs="宋体" w:hint="eastAsia"/>
          <w:color w:val="333333"/>
          <w:kern w:val="0"/>
          <w:sz w:val="24"/>
          <w:szCs w:val="24"/>
        </w:rPr>
        <w:br/>
        <w:t xml:space="preserve">  八、本公告适用于2014年及以后纳税年度。</w:t>
      </w:r>
      <w:r w:rsidRPr="003711F6">
        <w:rPr>
          <w:rFonts w:ascii="宋体" w:eastAsia="宋体" w:hAnsi="宋体" w:cs="宋体" w:hint="eastAsia"/>
          <w:color w:val="333333"/>
          <w:kern w:val="0"/>
          <w:sz w:val="24"/>
          <w:szCs w:val="24"/>
        </w:rPr>
        <w:br/>
        <w:t xml:space="preserve">  特此公告。</w:t>
      </w:r>
      <w:r w:rsidRPr="003711F6">
        <w:rPr>
          <w:rFonts w:ascii="宋体" w:eastAsia="宋体" w:hAnsi="宋体" w:cs="Arial" w:hint="eastAsia"/>
          <w:color w:val="333333"/>
          <w:kern w:val="0"/>
          <w:sz w:val="24"/>
          <w:szCs w:val="24"/>
        </w:rPr>
        <w:br/>
        <w:t xml:space="preserve">  附件：1.</w:t>
      </w:r>
      <w:hyperlink r:id="rId6" w:history="1">
        <w:r w:rsidRPr="003711F6">
          <w:rPr>
            <w:rFonts w:ascii="宋体" w:eastAsia="宋体" w:hAnsi="宋体" w:cs="Arial" w:hint="eastAsia"/>
            <w:color w:val="0000FF"/>
            <w:kern w:val="0"/>
            <w:sz w:val="24"/>
            <w:szCs w:val="24"/>
            <w:u w:val="single"/>
          </w:rPr>
          <w:t>固定资产加速折旧(扣除)预缴情况统计表</w:t>
        </w:r>
      </w:hyperlink>
      <w:bookmarkStart w:id="1" w:name="_GoBack"/>
      <w:bookmarkEnd w:id="1"/>
    </w:p>
    <w:p w:rsidR="00B669A6" w:rsidRDefault="00B669A6" w:rsidP="00B669A6">
      <w:pPr>
        <w:widowControl/>
        <w:shd w:val="clear" w:color="auto" w:fill="FFFFFF"/>
        <w:spacing w:line="540" w:lineRule="atLeast"/>
        <w:ind w:right="720"/>
        <w:jc w:val="left"/>
        <w:rPr>
          <w:rFonts w:ascii="Arial" w:eastAsia="宋体" w:hAnsi="Arial" w:cs="Arial" w:hint="eastAsia"/>
          <w:color w:val="333333"/>
          <w:kern w:val="0"/>
          <w:sz w:val="24"/>
          <w:szCs w:val="24"/>
        </w:rPr>
      </w:pPr>
      <w:r w:rsidRPr="003711F6">
        <w:rPr>
          <w:rFonts w:ascii="宋体" w:eastAsia="宋体" w:hAnsi="宋体" w:cs="宋体" w:hint="eastAsia"/>
          <w:color w:val="333333"/>
          <w:kern w:val="0"/>
          <w:sz w:val="24"/>
          <w:szCs w:val="24"/>
        </w:rPr>
        <w:t xml:space="preserve">          2.</w:t>
      </w:r>
      <w:hyperlink r:id="rId7" w:history="1">
        <w:r w:rsidRPr="003711F6">
          <w:rPr>
            <w:rFonts w:ascii="宋体" w:eastAsia="宋体" w:hAnsi="宋体" w:cs="宋体" w:hint="eastAsia"/>
            <w:color w:val="0000FF"/>
            <w:kern w:val="0"/>
            <w:sz w:val="24"/>
            <w:szCs w:val="24"/>
            <w:u w:val="single"/>
          </w:rPr>
          <w:t>《固定资产加速折旧(扣除)预缴情况统计表》填报说明</w:t>
        </w:r>
      </w:hyperlink>
      <w:r w:rsidRPr="003711F6">
        <w:rPr>
          <w:rFonts w:ascii="Arial" w:eastAsia="宋体" w:hAnsi="Arial" w:cs="Arial" w:hint="eastAsia"/>
          <w:color w:val="333333"/>
          <w:kern w:val="0"/>
          <w:sz w:val="24"/>
          <w:szCs w:val="24"/>
        </w:rPr>
        <w:br/>
        <w:t xml:space="preserve">                                                   </w:t>
      </w:r>
    </w:p>
    <w:p w:rsidR="00B669A6" w:rsidRDefault="00B669A6" w:rsidP="00B669A6">
      <w:pPr>
        <w:widowControl/>
        <w:shd w:val="clear" w:color="auto" w:fill="FFFFFF"/>
        <w:spacing w:line="540" w:lineRule="atLeast"/>
        <w:ind w:right="720"/>
        <w:jc w:val="right"/>
        <w:rPr>
          <w:rFonts w:ascii="Arial" w:eastAsia="宋体" w:hAnsi="Arial" w:cs="Arial" w:hint="eastAsia"/>
          <w:color w:val="333333"/>
          <w:kern w:val="0"/>
          <w:sz w:val="24"/>
          <w:szCs w:val="24"/>
        </w:rPr>
      </w:pPr>
      <w:r w:rsidRPr="003711F6">
        <w:rPr>
          <w:rFonts w:ascii="Arial" w:eastAsia="宋体" w:hAnsi="Arial" w:cs="Arial" w:hint="eastAsia"/>
          <w:color w:val="333333"/>
          <w:kern w:val="0"/>
          <w:sz w:val="24"/>
          <w:szCs w:val="24"/>
        </w:rPr>
        <w:t xml:space="preserve"> </w:t>
      </w:r>
      <w:r w:rsidRPr="003711F6">
        <w:rPr>
          <w:rFonts w:ascii="宋体" w:eastAsia="宋体" w:hAnsi="宋体" w:cs="Arial" w:hint="eastAsia"/>
          <w:color w:val="333333"/>
          <w:kern w:val="0"/>
          <w:sz w:val="24"/>
          <w:szCs w:val="24"/>
        </w:rPr>
        <w:t>国家税务总局</w:t>
      </w:r>
      <w:r w:rsidRPr="003711F6">
        <w:rPr>
          <w:rFonts w:ascii="Arial" w:eastAsia="宋体" w:hAnsi="Arial" w:cs="Arial" w:hint="eastAsia"/>
          <w:color w:val="333333"/>
          <w:kern w:val="0"/>
          <w:sz w:val="24"/>
          <w:szCs w:val="24"/>
        </w:rPr>
        <w:br/>
        <w:t xml:space="preserve">                                               </w:t>
      </w:r>
    </w:p>
    <w:p w:rsidR="00B669A6" w:rsidRPr="003711F6" w:rsidRDefault="00B669A6" w:rsidP="00B669A6">
      <w:pPr>
        <w:widowControl/>
        <w:shd w:val="clear" w:color="auto" w:fill="FFFFFF"/>
        <w:spacing w:line="540" w:lineRule="atLeast"/>
        <w:ind w:right="720"/>
        <w:jc w:val="right"/>
        <w:rPr>
          <w:rFonts w:ascii="宋体" w:eastAsia="宋体" w:hAnsi="宋体" w:cs="宋体"/>
          <w:color w:val="333333"/>
          <w:kern w:val="0"/>
          <w:sz w:val="24"/>
          <w:szCs w:val="24"/>
        </w:rPr>
      </w:pPr>
      <w:r w:rsidRPr="003711F6">
        <w:rPr>
          <w:rFonts w:ascii="Arial" w:eastAsia="宋体" w:hAnsi="Arial" w:cs="Arial" w:hint="eastAsia"/>
          <w:color w:val="333333"/>
          <w:kern w:val="0"/>
          <w:sz w:val="24"/>
          <w:szCs w:val="24"/>
        </w:rPr>
        <w:t>2014</w:t>
      </w:r>
      <w:r w:rsidRPr="003711F6">
        <w:rPr>
          <w:rFonts w:ascii="宋体" w:eastAsia="宋体" w:hAnsi="宋体" w:cs="Arial" w:hint="eastAsia"/>
          <w:color w:val="333333"/>
          <w:kern w:val="0"/>
          <w:sz w:val="24"/>
          <w:szCs w:val="24"/>
        </w:rPr>
        <w:t>年</w:t>
      </w:r>
      <w:r w:rsidRPr="003711F6">
        <w:rPr>
          <w:rFonts w:ascii="Arial" w:eastAsia="宋体" w:hAnsi="Arial" w:cs="Arial" w:hint="eastAsia"/>
          <w:color w:val="333333"/>
          <w:kern w:val="0"/>
          <w:sz w:val="24"/>
          <w:szCs w:val="24"/>
        </w:rPr>
        <w:t>11</w:t>
      </w:r>
      <w:r w:rsidRPr="003711F6">
        <w:rPr>
          <w:rFonts w:ascii="宋体" w:eastAsia="宋体" w:hAnsi="宋体" w:cs="Arial" w:hint="eastAsia"/>
          <w:color w:val="333333"/>
          <w:kern w:val="0"/>
          <w:sz w:val="24"/>
          <w:szCs w:val="24"/>
        </w:rPr>
        <w:t>月</w:t>
      </w:r>
      <w:r w:rsidRPr="003711F6">
        <w:rPr>
          <w:rFonts w:ascii="Arial" w:eastAsia="宋体" w:hAnsi="Arial" w:cs="Arial" w:hint="eastAsia"/>
          <w:color w:val="333333"/>
          <w:kern w:val="0"/>
          <w:sz w:val="24"/>
          <w:szCs w:val="24"/>
        </w:rPr>
        <w:t>14</w:t>
      </w:r>
      <w:r w:rsidRPr="003711F6">
        <w:rPr>
          <w:rFonts w:ascii="宋体" w:eastAsia="宋体" w:hAnsi="宋体" w:cs="Arial" w:hint="eastAsia"/>
          <w:color w:val="333333"/>
          <w:kern w:val="0"/>
          <w:sz w:val="24"/>
          <w:szCs w:val="24"/>
        </w:rPr>
        <w:t>日</w:t>
      </w:r>
    </w:p>
    <w:p w:rsidR="00560F0F" w:rsidRPr="00B669A6" w:rsidRDefault="00560F0F" w:rsidP="00B669A6"/>
    <w:sectPr w:rsidR="00560F0F" w:rsidRPr="00B669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1F67"/>
    <w:multiLevelType w:val="multilevel"/>
    <w:tmpl w:val="F4480C0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446385"/>
    <w:multiLevelType w:val="multilevel"/>
    <w:tmpl w:val="4AC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
  </w:num>
  <w:num w:numId="4">
    <w:abstractNumId w:val="12"/>
  </w:num>
  <w:num w:numId="5">
    <w:abstractNumId w:val="8"/>
  </w:num>
  <w:num w:numId="6">
    <w:abstractNumId w:val="7"/>
  </w:num>
  <w:num w:numId="7">
    <w:abstractNumId w:val="2"/>
  </w:num>
  <w:num w:numId="8">
    <w:abstractNumId w:val="9"/>
  </w:num>
  <w:num w:numId="9">
    <w:abstractNumId w:val="3"/>
  </w:num>
  <w:num w:numId="10">
    <w:abstractNumId w:val="11"/>
  </w:num>
  <w:num w:numId="11">
    <w:abstractNumId w:val="6"/>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1E120F"/>
    <w:rsid w:val="003030DD"/>
    <w:rsid w:val="00372A9F"/>
    <w:rsid w:val="003A1BA9"/>
    <w:rsid w:val="004C794F"/>
    <w:rsid w:val="00532DBA"/>
    <w:rsid w:val="00560F0F"/>
    <w:rsid w:val="005610C9"/>
    <w:rsid w:val="005A3981"/>
    <w:rsid w:val="00685C93"/>
    <w:rsid w:val="008610D7"/>
    <w:rsid w:val="008757E4"/>
    <w:rsid w:val="008A34FF"/>
    <w:rsid w:val="008B49B1"/>
    <w:rsid w:val="00910B99"/>
    <w:rsid w:val="00922528"/>
    <w:rsid w:val="0098334E"/>
    <w:rsid w:val="009A54DD"/>
    <w:rsid w:val="00A06782"/>
    <w:rsid w:val="00AA7C3E"/>
    <w:rsid w:val="00AE2F2B"/>
    <w:rsid w:val="00B669A6"/>
    <w:rsid w:val="00BE7ACF"/>
    <w:rsid w:val="00C86C3A"/>
    <w:rsid w:val="00CA6AF3"/>
    <w:rsid w:val="00D20098"/>
    <w:rsid w:val="00D70AFF"/>
    <w:rsid w:val="00DB11BC"/>
    <w:rsid w:val="00E22FE7"/>
    <w:rsid w:val="00E535B0"/>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inatax.gov.cn/n810341/n810765/n812141/n812227/c1486197/part/148621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ax.gov.cn/n810341/n810765/n812141/n812227/c1486197/part/1486209.x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1976</Characters>
  <Application>Microsoft Office Word</Application>
  <DocSecurity>0</DocSecurity>
  <Lines>16</Lines>
  <Paragraphs>4</Paragraphs>
  <ScaleCrop>false</ScaleCrop>
  <Company>CHINA</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2019-04-29T02:45:00Z</dcterms:created>
  <dcterms:modified xsi:type="dcterms:W3CDTF">2019-04-29T02:45:00Z</dcterms:modified>
</cp:coreProperties>
</file>