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B61" w:rsidRPr="003711F6" w:rsidRDefault="00FA4B61" w:rsidP="00FA4B61">
      <w:pPr>
        <w:keepNext/>
        <w:keepLines/>
        <w:spacing w:before="260" w:after="260" w:line="415" w:lineRule="auto"/>
        <w:outlineLvl w:val="1"/>
        <w:rPr>
          <w:rFonts w:ascii="Cambria" w:eastAsia="宋体" w:hAnsi="Cambria" w:cs="Times New Roman"/>
          <w:b/>
          <w:bCs/>
          <w:color w:val="FF0000"/>
          <w:sz w:val="36"/>
          <w:szCs w:val="36"/>
        </w:rPr>
      </w:pPr>
      <w:bookmarkStart w:id="0" w:name="_Toc7398054"/>
      <w:r w:rsidRPr="003711F6">
        <w:rPr>
          <w:rFonts w:ascii="Cambria" w:eastAsia="宋体" w:hAnsi="Cambria" w:cs="Times New Roman" w:hint="eastAsia"/>
          <w:b/>
          <w:bCs/>
          <w:color w:val="FF0000"/>
          <w:sz w:val="36"/>
          <w:szCs w:val="36"/>
        </w:rPr>
        <w:t>133</w:t>
      </w:r>
      <w:r w:rsidRPr="003711F6">
        <w:rPr>
          <w:rFonts w:ascii="宋体" w:eastAsia="宋体" w:hAnsi="宋体" w:cs="Times New Roman" w:hint="eastAsia"/>
          <w:b/>
          <w:bCs/>
          <w:color w:val="FF0000"/>
          <w:sz w:val="36"/>
          <w:szCs w:val="36"/>
        </w:rPr>
        <w:t>《财政部</w:t>
      </w:r>
      <w:r w:rsidRPr="003711F6">
        <w:rPr>
          <w:rFonts w:ascii="Cambria" w:eastAsia="宋体" w:hAnsi="Cambria" w:cs="Times New Roman" w:hint="eastAsia"/>
          <w:b/>
          <w:bCs/>
          <w:color w:val="FF0000"/>
          <w:sz w:val="36"/>
          <w:szCs w:val="36"/>
        </w:rPr>
        <w:t xml:space="preserve"> </w:t>
      </w:r>
      <w:r w:rsidRPr="003711F6">
        <w:rPr>
          <w:rFonts w:ascii="宋体" w:eastAsia="宋体" w:hAnsi="宋体" w:cs="Times New Roman" w:hint="eastAsia"/>
          <w:b/>
          <w:bCs/>
          <w:color w:val="FF0000"/>
          <w:sz w:val="36"/>
          <w:szCs w:val="36"/>
        </w:rPr>
        <w:t>国家税务总局</w:t>
      </w:r>
      <w:r w:rsidRPr="003711F6">
        <w:rPr>
          <w:rFonts w:ascii="Cambria" w:eastAsia="宋体" w:hAnsi="Cambria" w:cs="Times New Roman" w:hint="eastAsia"/>
          <w:b/>
          <w:bCs/>
          <w:color w:val="FF0000"/>
          <w:sz w:val="36"/>
          <w:szCs w:val="36"/>
        </w:rPr>
        <w:t xml:space="preserve"> </w:t>
      </w:r>
      <w:r w:rsidRPr="003711F6">
        <w:rPr>
          <w:rFonts w:ascii="宋体" w:eastAsia="宋体" w:hAnsi="宋体" w:cs="Times New Roman" w:hint="eastAsia"/>
          <w:b/>
          <w:bCs/>
          <w:color w:val="FF0000"/>
          <w:sz w:val="36"/>
          <w:szCs w:val="36"/>
        </w:rPr>
        <w:t>商务部</w:t>
      </w:r>
      <w:r w:rsidRPr="003711F6">
        <w:rPr>
          <w:rFonts w:ascii="Cambria" w:eastAsia="宋体" w:hAnsi="Cambria" w:cs="Times New Roman" w:hint="eastAsia"/>
          <w:b/>
          <w:bCs/>
          <w:color w:val="FF0000"/>
          <w:sz w:val="36"/>
          <w:szCs w:val="36"/>
        </w:rPr>
        <w:t xml:space="preserve"> </w:t>
      </w:r>
      <w:r w:rsidRPr="003711F6">
        <w:rPr>
          <w:rFonts w:ascii="宋体" w:eastAsia="宋体" w:hAnsi="宋体" w:cs="Times New Roman" w:hint="eastAsia"/>
          <w:b/>
          <w:bCs/>
          <w:color w:val="FF0000"/>
          <w:sz w:val="36"/>
          <w:szCs w:val="36"/>
        </w:rPr>
        <w:t>科技部</w:t>
      </w:r>
      <w:r w:rsidRPr="003711F6">
        <w:rPr>
          <w:rFonts w:ascii="Cambria" w:eastAsia="宋体" w:hAnsi="Cambria" w:cs="Times New Roman" w:hint="eastAsia"/>
          <w:b/>
          <w:bCs/>
          <w:color w:val="FF0000"/>
          <w:sz w:val="36"/>
          <w:szCs w:val="36"/>
        </w:rPr>
        <w:t xml:space="preserve"> </w:t>
      </w:r>
      <w:r w:rsidRPr="003711F6">
        <w:rPr>
          <w:rFonts w:ascii="宋体" w:eastAsia="宋体" w:hAnsi="宋体" w:cs="Times New Roman" w:hint="eastAsia"/>
          <w:b/>
          <w:bCs/>
          <w:color w:val="FF0000"/>
          <w:sz w:val="36"/>
          <w:szCs w:val="36"/>
        </w:rPr>
        <w:t>国家发展改革委关于新增中国服务外包示范城市适用技术先进型服务企业所得税政策的通知》</w:t>
      </w:r>
      <w:bookmarkEnd w:id="0"/>
    </w:p>
    <w:p w:rsidR="00FA4B61" w:rsidRPr="003711F6" w:rsidRDefault="00FA4B61" w:rsidP="00FA4B61">
      <w:pPr>
        <w:widowControl/>
        <w:spacing w:before="75" w:after="75" w:line="420" w:lineRule="atLeast"/>
        <w:ind w:right="960"/>
        <w:rPr>
          <w:rFonts w:ascii="宋体" w:eastAsia="宋体" w:hAnsi="宋体" w:cs="Times New Roman"/>
          <w:color w:val="333333"/>
          <w:kern w:val="0"/>
          <w:sz w:val="24"/>
          <w:szCs w:val="24"/>
        </w:rPr>
      </w:pPr>
      <w:r w:rsidRPr="003711F6">
        <w:rPr>
          <w:rFonts w:ascii="宋体" w:eastAsia="宋体" w:hAnsi="宋体" w:cs="Times New Roman" w:hint="eastAsia"/>
          <w:color w:val="333333"/>
          <w:kern w:val="0"/>
          <w:sz w:val="24"/>
          <w:szCs w:val="24"/>
        </w:rPr>
        <w:t>财税〔2016〕108号</w:t>
      </w:r>
    </w:p>
    <w:p w:rsidR="00FA4B61" w:rsidRPr="003711F6" w:rsidRDefault="00FA4B61" w:rsidP="00FA4B61">
      <w:pPr>
        <w:widowControl/>
        <w:shd w:val="clear" w:color="auto" w:fill="FFFFFF"/>
        <w:spacing w:line="540" w:lineRule="atLeast"/>
        <w:ind w:left="-360"/>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辽宁、吉林、江苏、福建、广西、新疆、青岛、宁波、河南省（自治区、计划单列市）财政厅（局）、国家税务局、地方税务局、商务主管部门、科技厅（委、局）、发展改革委：</w:t>
      </w:r>
    </w:p>
    <w:p w:rsidR="00FA4B61" w:rsidRPr="003711F6" w:rsidRDefault="00FA4B61" w:rsidP="00FA4B61">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根据国务院有关批复，现就沈阳等10个新增中国服务外包示范城市适用技术先进型服务企业所得税政策问题通知如下：</w:t>
      </w:r>
    </w:p>
    <w:p w:rsidR="00FA4B61" w:rsidRPr="003711F6" w:rsidRDefault="00FA4B61" w:rsidP="00FA4B61">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一、沈阳、长春、南通、镇江、福州（含平潭综合实验区）、南宁、乌鲁木齐、青岛、宁波和郑州等10个新增中国服务外包示范城市按照《财政部 国家税务总局 商务部 科技部 国家发展改革委关于完善技术先进型服务企业有关企业所得税政策问题的通知》（财税〔2014〕59号）的有关规定，适用技术先进型服务企业所得税优惠政策。</w:t>
      </w:r>
    </w:p>
    <w:p w:rsidR="00FA4B61" w:rsidRPr="003711F6" w:rsidRDefault="00FA4B61" w:rsidP="00FA4B61">
      <w:pPr>
        <w:widowControl/>
        <w:shd w:val="clear" w:color="auto" w:fill="FFFFFF"/>
        <w:spacing w:line="540" w:lineRule="atLeast"/>
        <w:jc w:val="lef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 xml:space="preserve">  二、本通知自2016年1月1日起至2018年12月31日</w:t>
      </w:r>
      <w:proofErr w:type="gramStart"/>
      <w:r w:rsidRPr="003711F6">
        <w:rPr>
          <w:rFonts w:ascii="宋体" w:eastAsia="宋体" w:hAnsi="宋体" w:cs="宋体" w:hint="eastAsia"/>
          <w:color w:val="333333"/>
          <w:kern w:val="0"/>
          <w:sz w:val="24"/>
          <w:szCs w:val="24"/>
        </w:rPr>
        <w:t>止</w:t>
      </w:r>
      <w:proofErr w:type="gramEnd"/>
      <w:r w:rsidRPr="003711F6">
        <w:rPr>
          <w:rFonts w:ascii="宋体" w:eastAsia="宋体" w:hAnsi="宋体" w:cs="宋体" w:hint="eastAsia"/>
          <w:color w:val="333333"/>
          <w:kern w:val="0"/>
          <w:sz w:val="24"/>
          <w:szCs w:val="24"/>
        </w:rPr>
        <w:t>执行。</w:t>
      </w:r>
    </w:p>
    <w:p w:rsidR="00FA4B61" w:rsidRPr="003711F6" w:rsidRDefault="00FA4B61" w:rsidP="00FA4B61">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财政部 国家税务总局 商务部</w:t>
      </w:r>
    </w:p>
    <w:p w:rsidR="00FA4B61" w:rsidRPr="003711F6" w:rsidRDefault="00FA4B61" w:rsidP="00FA4B61">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科技部 国家发展改革委</w:t>
      </w:r>
    </w:p>
    <w:p w:rsidR="00FA4B61" w:rsidRPr="003711F6" w:rsidRDefault="00FA4B61" w:rsidP="00FA4B61">
      <w:pPr>
        <w:widowControl/>
        <w:shd w:val="clear" w:color="auto" w:fill="FFFFFF"/>
        <w:spacing w:line="540" w:lineRule="atLeast"/>
        <w:jc w:val="right"/>
        <w:rPr>
          <w:rFonts w:ascii="宋体" w:eastAsia="宋体" w:hAnsi="宋体" w:cs="宋体"/>
          <w:color w:val="333333"/>
          <w:kern w:val="0"/>
          <w:sz w:val="24"/>
          <w:szCs w:val="24"/>
        </w:rPr>
      </w:pPr>
      <w:r w:rsidRPr="003711F6">
        <w:rPr>
          <w:rFonts w:ascii="宋体" w:eastAsia="宋体" w:hAnsi="宋体" w:cs="宋体" w:hint="eastAsia"/>
          <w:color w:val="333333"/>
          <w:kern w:val="0"/>
          <w:sz w:val="24"/>
          <w:szCs w:val="24"/>
        </w:rPr>
        <w:t>2016年10月12日</w:t>
      </w:r>
    </w:p>
    <w:p w:rsidR="00560F0F" w:rsidRPr="00FA4B61" w:rsidRDefault="00560F0F" w:rsidP="00FA4B61">
      <w:bookmarkStart w:id="1" w:name="_GoBack"/>
      <w:bookmarkEnd w:id="1"/>
    </w:p>
    <w:sectPr w:rsidR="00560F0F" w:rsidRPr="00FA4B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51F67"/>
    <w:multiLevelType w:val="multilevel"/>
    <w:tmpl w:val="F4480C0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7E3EB3"/>
    <w:multiLevelType w:val="multilevel"/>
    <w:tmpl w:val="1FB4BA9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3">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DA257F"/>
    <w:multiLevelType w:val="multilevel"/>
    <w:tmpl w:val="5CFCB2B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hint="default"/>
        <w:sz w:val="20"/>
        <w:szCs w:val="20"/>
      </w:rPr>
    </w:lvl>
    <w:lvl w:ilvl="3">
      <w:start w:val="1"/>
      <w:numFmt w:val="bullet"/>
      <w:lvlText w:val=""/>
      <w:lvlJc w:val="left"/>
      <w:pPr>
        <w:tabs>
          <w:tab w:val="num" w:pos="2880"/>
        </w:tabs>
        <w:ind w:left="2880" w:hanging="360"/>
      </w:pPr>
      <w:rPr>
        <w:rFonts w:ascii="Wingdings" w:hAnsi="Wingdings" w:hint="default"/>
        <w:sz w:val="20"/>
        <w:szCs w:val="20"/>
      </w:rPr>
    </w:lvl>
    <w:lvl w:ilvl="4">
      <w:start w:val="1"/>
      <w:numFmt w:val="bullet"/>
      <w:lvlText w:val=""/>
      <w:lvlJc w:val="left"/>
      <w:pPr>
        <w:tabs>
          <w:tab w:val="num" w:pos="3600"/>
        </w:tabs>
        <w:ind w:left="3600" w:hanging="360"/>
      </w:pPr>
      <w:rPr>
        <w:rFonts w:ascii="Wingdings" w:hAnsi="Wingdings" w:hint="default"/>
        <w:sz w:val="20"/>
        <w:szCs w:val="20"/>
      </w:rPr>
    </w:lvl>
    <w:lvl w:ilvl="5">
      <w:start w:val="1"/>
      <w:numFmt w:val="bullet"/>
      <w:lvlText w:val=""/>
      <w:lvlJc w:val="left"/>
      <w:pPr>
        <w:tabs>
          <w:tab w:val="num" w:pos="4320"/>
        </w:tabs>
        <w:ind w:left="4320" w:hanging="360"/>
      </w:pPr>
      <w:rPr>
        <w:rFonts w:ascii="Wingdings" w:hAnsi="Wingdings" w:hint="default"/>
        <w:sz w:val="20"/>
        <w:szCs w:val="20"/>
      </w:rPr>
    </w:lvl>
    <w:lvl w:ilvl="6">
      <w:start w:val="1"/>
      <w:numFmt w:val="bullet"/>
      <w:lvlText w:val=""/>
      <w:lvlJc w:val="left"/>
      <w:pPr>
        <w:tabs>
          <w:tab w:val="num" w:pos="5040"/>
        </w:tabs>
        <w:ind w:left="5040" w:hanging="360"/>
      </w:pPr>
      <w:rPr>
        <w:rFonts w:ascii="Wingdings" w:hAnsi="Wingdings" w:hint="default"/>
        <w:sz w:val="20"/>
        <w:szCs w:val="20"/>
      </w:rPr>
    </w:lvl>
    <w:lvl w:ilvl="7">
      <w:start w:val="1"/>
      <w:numFmt w:val="bullet"/>
      <w:lvlText w:val=""/>
      <w:lvlJc w:val="left"/>
      <w:pPr>
        <w:tabs>
          <w:tab w:val="num" w:pos="5760"/>
        </w:tabs>
        <w:ind w:left="5760" w:hanging="360"/>
      </w:pPr>
      <w:rPr>
        <w:rFonts w:ascii="Wingdings" w:hAnsi="Wingdings" w:hint="default"/>
        <w:sz w:val="20"/>
        <w:szCs w:val="20"/>
      </w:rPr>
    </w:lvl>
    <w:lvl w:ilvl="8">
      <w:start w:val="1"/>
      <w:numFmt w:val="bullet"/>
      <w:lvlText w:val=""/>
      <w:lvlJc w:val="left"/>
      <w:pPr>
        <w:tabs>
          <w:tab w:val="num" w:pos="6480"/>
        </w:tabs>
        <w:ind w:left="6480" w:hanging="360"/>
      </w:pPr>
      <w:rPr>
        <w:rFonts w:ascii="Wingdings" w:hAnsi="Wingdings" w:hint="default"/>
        <w:sz w:val="20"/>
        <w:szCs w:val="20"/>
      </w:rPr>
    </w:lvl>
  </w:abstractNum>
  <w:abstractNum w:abstractNumId="11">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1"/>
  </w:num>
  <w:num w:numId="4">
    <w:abstractNumId w:val="14"/>
  </w:num>
  <w:num w:numId="5">
    <w:abstractNumId w:val="9"/>
  </w:num>
  <w:num w:numId="6">
    <w:abstractNumId w:val="8"/>
  </w:num>
  <w:num w:numId="7">
    <w:abstractNumId w:val="3"/>
  </w:num>
  <w:num w:numId="8">
    <w:abstractNumId w:val="11"/>
  </w:num>
  <w:num w:numId="9">
    <w:abstractNumId w:val="4"/>
  </w:num>
  <w:num w:numId="10">
    <w:abstractNumId w:val="13"/>
  </w:num>
  <w:num w:numId="11">
    <w:abstractNumId w:val="7"/>
  </w:num>
  <w:num w:numId="12">
    <w:abstractNumId w:val="5"/>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0E112F"/>
    <w:rsid w:val="001E120F"/>
    <w:rsid w:val="001F78C4"/>
    <w:rsid w:val="00226A74"/>
    <w:rsid w:val="003030DD"/>
    <w:rsid w:val="00372A9F"/>
    <w:rsid w:val="003A1BA9"/>
    <w:rsid w:val="004C794F"/>
    <w:rsid w:val="00532DBA"/>
    <w:rsid w:val="00560F0F"/>
    <w:rsid w:val="005610C9"/>
    <w:rsid w:val="005A3981"/>
    <w:rsid w:val="00685C93"/>
    <w:rsid w:val="008610D7"/>
    <w:rsid w:val="008757E4"/>
    <w:rsid w:val="008A34FF"/>
    <w:rsid w:val="008B49B1"/>
    <w:rsid w:val="00910B99"/>
    <w:rsid w:val="00922528"/>
    <w:rsid w:val="0098334E"/>
    <w:rsid w:val="009A54DD"/>
    <w:rsid w:val="00A06782"/>
    <w:rsid w:val="00AA7C3E"/>
    <w:rsid w:val="00AE2F2B"/>
    <w:rsid w:val="00B669A6"/>
    <w:rsid w:val="00BE7ACF"/>
    <w:rsid w:val="00C86C3A"/>
    <w:rsid w:val="00CA6AF3"/>
    <w:rsid w:val="00D20098"/>
    <w:rsid w:val="00D70AFF"/>
    <w:rsid w:val="00DB11BC"/>
    <w:rsid w:val="00E22FE7"/>
    <w:rsid w:val="00E535B0"/>
    <w:rsid w:val="00EF5BCC"/>
    <w:rsid w:val="00F1031E"/>
    <w:rsid w:val="00FA4B61"/>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380</Characters>
  <Application>Microsoft Office Word</Application>
  <DocSecurity>0</DocSecurity>
  <Lines>3</Lines>
  <Paragraphs>1</Paragraphs>
  <ScaleCrop>false</ScaleCrop>
  <Company>CHINA</Company>
  <LinksUpToDate>false</LinksUpToDate>
  <CharactersWithSpaces>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2019-04-29T02:47:00Z</dcterms:created>
  <dcterms:modified xsi:type="dcterms:W3CDTF">2019-04-29T02:47:00Z</dcterms:modified>
</cp:coreProperties>
</file>