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09" w:rsidRPr="0049451A" w:rsidRDefault="00667609" w:rsidP="00667609">
      <w:pPr>
        <w:keepNext/>
        <w:keepLines/>
        <w:spacing w:before="260" w:after="260" w:line="415" w:lineRule="auto"/>
        <w:outlineLvl w:val="1"/>
        <w:rPr>
          <w:rFonts w:ascii="宋体" w:eastAsia="宋体" w:hAnsi="宋体" w:cs="Times New Roman"/>
          <w:b/>
          <w:bCs/>
          <w:color w:val="FF0000"/>
          <w:sz w:val="36"/>
          <w:szCs w:val="36"/>
        </w:rPr>
      </w:pPr>
      <w:bookmarkStart w:id="0" w:name="_Toc7397935"/>
      <w:r w:rsidRPr="0049451A">
        <w:rPr>
          <w:rFonts w:ascii="宋体" w:eastAsia="宋体" w:hAnsi="宋体" w:cs="Times New Roman" w:hint="eastAsia"/>
          <w:b/>
          <w:bCs/>
          <w:color w:val="FF0000"/>
          <w:sz w:val="36"/>
          <w:szCs w:val="36"/>
        </w:rPr>
        <w:t>14《财政部 税务总局 商务部 科技部 国家发展改革委关于将技术先进型服务企业所得税政策推广到全国实施的通知》</w:t>
      </w:r>
      <w:bookmarkEnd w:id="0"/>
    </w:p>
    <w:p w:rsidR="00667609" w:rsidRDefault="00667609" w:rsidP="00667609">
      <w:pPr>
        <w:jc w:val="center"/>
        <w:rPr>
          <w:rFonts w:asciiTheme="minorEastAsia" w:hAnsiTheme="minorEastAsia"/>
          <w:color w:val="333333"/>
          <w:sz w:val="24"/>
          <w:szCs w:val="24"/>
        </w:rPr>
      </w:pPr>
      <w:r w:rsidRPr="003F64CD">
        <w:rPr>
          <w:rFonts w:asciiTheme="minorEastAsia" w:hAnsiTheme="minorEastAsia" w:hint="eastAsia"/>
          <w:color w:val="333333"/>
          <w:sz w:val="24"/>
          <w:szCs w:val="24"/>
        </w:rPr>
        <w:t>财税〔2017〕79号</w:t>
      </w:r>
    </w:p>
    <w:p w:rsidR="00667609" w:rsidRPr="003F64CD" w:rsidRDefault="00667609" w:rsidP="00667609">
      <w:pPr>
        <w:widowControl/>
        <w:numPr>
          <w:ilvl w:val="0"/>
          <w:numId w:val="5"/>
        </w:numPr>
        <w:shd w:val="clear" w:color="auto" w:fill="FFFFFF"/>
        <w:spacing w:line="540" w:lineRule="atLeast"/>
        <w:ind w:left="0"/>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各省、自治区、直辖市、计划单列市财政厅（局）、国家税务局、地方税务局、商务主管部门、科技厅（委、局）、发展改革委，新疆生产建设兵团财务局、商务局、科技局、发展改革委：</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为贯彻落实《国务院关于促进外资增长若干措施的通知》（国发〔2017〕39号）要求，发挥外资对优化服务贸易结构的积极作用，引导外资更多投向高技术、高附加值服务业，促进企业技术创新和技术服务能力的提升，增强我国服务业的综合竞争力，现就技术先进型服务企业有关企业所得税政策问题通知如下：</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一、自2017年1月1日起，在全国范围内实行以下企业所得税优惠政策：</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1.对经认定的技术先进型服务企业，减按15%的税率征收企业所得税。</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2.经认定的技术先进型服务企业发生的职工教育经费支出，不超过工资薪金总额8%的部分，准予在计算应纳税所得额时扣除；超过部分，准予在以后纳税年度结转扣除。</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二、享受本通知第一条规定的企业所得税优惠政策的技术先进型服务企业必须同时符合以下条件：</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1.在中国境内（不包括港、澳、台地区）注册的法人企业；</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2.从事《技术先进型服务业务认定范围（试行）》（详见附件）中的一种或多种技术先进型服务业务，采用先进技术或具备较强的研发能力；</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3.具有大专以上学历的员工占企业职工总数的50%以上；</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4.从事《技术先进型服务业务认定范围（试行）》中的技术先进型服务业务取得的收入占企业当年总收入的50%以上；</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lastRenderedPageBreak/>
        <w:t xml:space="preserve">　　5.从事离岸服务外包业务取得的收入不低于企业当年总收入的35%。</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三、技术先进型服务企业的认定管理</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1.省级科技部门会同本级商务、财政、税务和发展改革部门根据本通知规定制定本省（自治区、直辖市、计划单列市）技术先进型服务企业认定管理办法，并负责本地区技术先进型服务企业的认定管理工作。各省（自治区、直辖市、计划单列市）技术先进型服务企业认定管理办法应报科技部、商务部、财政部、税务总局和国家发展改革委备案。</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2.符合条件的技术先进型服务企业应向所在省级科技部门提出申请，由省级科技部门会同本级商务、财政、税务和发展改革部门联合评审后发文认定，并将认定企业名单及有关情况通过科技部“全国技术先进型服务企业业务办理管理平台”备案，科技部与商务部、财政部、税务总局和国家发展改革委共享备案信息。符合条件的技术先进型服务企业须在商务部“服务贸易统计监测管理信息系统（服务外包信息管理应用）”中填报企业基本信息，按时报送数据。</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3.经认定的技术先进型服务企业，持相关认定文件向所在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机构复核。复核后确认不符合认定条件的，应取消企业享受税收优惠政策的资格。</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lastRenderedPageBreak/>
        <w:t xml:space="preserve">　　4.省级科技、商务、财政、税务和发展改革部门对经认定并享受税收优惠政策的技术先进型服务企业应做好跟踪管理，对变更经营范围、合并、分立、转业、迁移的企业，如不再符合认定条件，应及时取消其享受税收优惠政策的资格。</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5.省级财政、税务、商务、科技和发展改革部门要认真贯彻落实本通知的各项规定，在认定工作中对内外资企业一视同仁，平等对待，切实做好沟通与协作工作。在政策实施过程中发现问题，要及时反映上报财政部、税务总局、商务部、科技部和国家发展改革委。</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6.省级科技、商务、财政、税务和发展改革部门及其工作人员在认定技术先进型服务企业工作中，存在违法违纪行为的，按照《公务员法》《行政监察法》等国家有关规定追究相应责任；涉嫌犯罪的，移送司法机关处理。</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7.本通知印发后，各地应按照本通知规定于2017年12月31日前出台本省（自治区、直辖市、计划单列市）技术先进型服务企业认定管理办法并据此开展认定工作。现有31个中国服务外包示范城市已认定的2017年度技术先进型服务企业继续有效。从2018年1月1日起，中国服务外包示范城市技术先进型服务企业认定管理工作依照所在省（自治区、直辖市、计划单列市）制定的管理办法实施。</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附件：</w:t>
      </w:r>
      <w:hyperlink r:id="rId6" w:history="1">
        <w:r w:rsidRPr="003F64CD">
          <w:rPr>
            <w:rFonts w:ascii="宋体" w:eastAsia="宋体" w:hAnsi="宋体" w:cs="宋体" w:hint="eastAsia"/>
            <w:color w:val="0000FF"/>
            <w:kern w:val="0"/>
            <w:sz w:val="24"/>
            <w:szCs w:val="24"/>
            <w:bdr w:val="none" w:sz="0" w:space="0" w:color="auto" w:frame="1"/>
          </w:rPr>
          <w:t>技术先进型服务业务认定范围（试行）</w:t>
        </w:r>
      </w:hyperlink>
    </w:p>
    <w:p w:rsidR="00667609" w:rsidRPr="003F64CD" w:rsidRDefault="00667609" w:rsidP="00667609">
      <w:pPr>
        <w:widowControl/>
        <w:shd w:val="clear" w:color="auto" w:fill="FFFFFF"/>
        <w:spacing w:line="540" w:lineRule="atLeast"/>
        <w:jc w:val="righ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财政部 税务总局 商务部 科技部 国家发展改革委</w:t>
      </w:r>
    </w:p>
    <w:p w:rsidR="00667609" w:rsidRPr="003F64CD" w:rsidRDefault="00667609" w:rsidP="00667609">
      <w:pPr>
        <w:widowControl/>
        <w:shd w:val="clear" w:color="auto" w:fill="FFFFFF"/>
        <w:spacing w:line="540" w:lineRule="atLeast"/>
        <w:jc w:val="righ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2017年11月2日</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附件：</w:t>
      </w:r>
    </w:p>
    <w:p w:rsidR="00667609" w:rsidRPr="003F64CD" w:rsidRDefault="00667609" w:rsidP="00667609">
      <w:pPr>
        <w:widowControl/>
        <w:shd w:val="clear" w:color="auto" w:fill="FFFFFF"/>
        <w:spacing w:line="540" w:lineRule="atLeast"/>
        <w:jc w:val="center"/>
        <w:rPr>
          <w:rFonts w:ascii="宋体" w:eastAsia="宋体" w:hAnsi="宋体" w:cs="宋体"/>
          <w:color w:val="333333"/>
          <w:kern w:val="0"/>
          <w:sz w:val="24"/>
          <w:szCs w:val="24"/>
        </w:rPr>
      </w:pPr>
      <w:r w:rsidRPr="003F64CD">
        <w:rPr>
          <w:rFonts w:ascii="宋体" w:eastAsia="宋体" w:hAnsi="宋体" w:cs="宋体" w:hint="eastAsia"/>
          <w:b/>
          <w:bCs/>
          <w:color w:val="333333"/>
          <w:kern w:val="0"/>
          <w:sz w:val="24"/>
          <w:szCs w:val="24"/>
        </w:rPr>
        <w:t>技术先进型服务业务认定范围（试行）</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w:t>
      </w:r>
      <w:r w:rsidRPr="003F64CD">
        <w:rPr>
          <w:rFonts w:ascii="宋体" w:eastAsia="宋体" w:hAnsi="宋体" w:cs="宋体" w:hint="eastAsia"/>
          <w:b/>
          <w:bCs/>
          <w:color w:val="333333"/>
          <w:kern w:val="0"/>
          <w:sz w:val="24"/>
          <w:szCs w:val="24"/>
        </w:rPr>
        <w:t xml:space="preserve">　一、信息技术外包服务（ITO）</w:t>
      </w:r>
    </w:p>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（一）软件研发及外包</w:t>
      </w:r>
    </w:p>
    <w:tbl>
      <w:tblPr>
        <w:tblW w:w="0" w:type="auto"/>
        <w:jc w:val="center"/>
        <w:tblCellMar>
          <w:left w:w="0" w:type="dxa"/>
          <w:right w:w="0" w:type="dxa"/>
        </w:tblCellMar>
        <w:tblLook w:val="04A0" w:firstRow="1" w:lastRow="0" w:firstColumn="1" w:lastColumn="0" w:noHBand="0" w:noVBand="1"/>
      </w:tblPr>
      <w:tblGrid>
        <w:gridCol w:w="1956"/>
        <w:gridCol w:w="4896"/>
      </w:tblGrid>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 xml:space="preserve">　　类　别</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 xml:space="preserve">　　适用范围</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软件研发及开发服务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用于金融、政府、教育、制造业、零售、服务、能源、物流、交通、媒体、电信、公共事业和医疗卫生等部门和企业，为用</w:t>
            </w:r>
            <w:r w:rsidRPr="003F64CD">
              <w:rPr>
                <w:rFonts w:ascii="微软雅黑" w:eastAsia="微软雅黑" w:hAnsi="微软雅黑" w:cs="宋体" w:hint="eastAsia"/>
                <w:color w:val="333333"/>
                <w:kern w:val="0"/>
                <w:sz w:val="18"/>
                <w:szCs w:val="18"/>
              </w:rPr>
              <w:lastRenderedPageBreak/>
              <w:t>户的运营／生产／供应链／客户关系／人力资源和财务管理、计算机辅助设计／工程等业务进行软件开发，包括定制软件开发，嵌入式软件、套装软件开发，系统软件开发、软件测试等。</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lastRenderedPageBreak/>
              <w:t>软件技术服务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软件咨询、维护、培训、测试等技术性服务。</w:t>
            </w:r>
          </w:p>
        </w:tc>
      </w:tr>
    </w:tbl>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（二）信息技术研发服务外包</w:t>
      </w:r>
    </w:p>
    <w:tbl>
      <w:tblPr>
        <w:tblW w:w="0" w:type="auto"/>
        <w:jc w:val="center"/>
        <w:tblCellMar>
          <w:left w:w="0" w:type="dxa"/>
          <w:right w:w="0" w:type="dxa"/>
        </w:tblCellMar>
        <w:tblLook w:val="04A0" w:firstRow="1" w:lastRow="0" w:firstColumn="1" w:lastColumn="0" w:noHBand="0" w:noVBand="1"/>
      </w:tblPr>
      <w:tblGrid>
        <w:gridCol w:w="1956"/>
        <w:gridCol w:w="4896"/>
      </w:tblGrid>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类　别</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适用范围</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集成电路和电子电路设计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集成电路和电子电路产品设计以及相关技术支持服务等。</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 xml:space="preserve">　　测试平台</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为软件、集成电路和电子电路的开发运用提供测试平台。</w:t>
            </w:r>
          </w:p>
        </w:tc>
      </w:tr>
    </w:tbl>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（三）信息系统运营维护外包</w:t>
      </w:r>
    </w:p>
    <w:tbl>
      <w:tblPr>
        <w:tblW w:w="0" w:type="auto"/>
        <w:jc w:val="center"/>
        <w:tblCellMar>
          <w:left w:w="0" w:type="dxa"/>
          <w:right w:w="0" w:type="dxa"/>
        </w:tblCellMar>
        <w:tblLook w:val="04A0" w:firstRow="1" w:lastRow="0" w:firstColumn="1" w:lastColumn="0" w:noHBand="0" w:noVBand="1"/>
      </w:tblPr>
      <w:tblGrid>
        <w:gridCol w:w="1956"/>
        <w:gridCol w:w="4896"/>
      </w:tblGrid>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 xml:space="preserve">　　类　别</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适用范围</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信息系统运营和维护服务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客户内部信息系统集成、网络管理、桌面管理与维护服务；信息工程、地理信息系统、远程维护等信息系统应用服务。</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基础信息技术服务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基础信息技术管理平台整合、IT基础设施管理、数据中心、托管中心、安全服务、通讯服务等基础信息技术服务。</w:t>
            </w:r>
          </w:p>
        </w:tc>
      </w:tr>
    </w:tbl>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w:t>
      </w:r>
      <w:r w:rsidRPr="003F64CD">
        <w:rPr>
          <w:rFonts w:ascii="宋体" w:eastAsia="宋体" w:hAnsi="宋体" w:cs="宋体" w:hint="eastAsia"/>
          <w:b/>
          <w:bCs/>
          <w:color w:val="333333"/>
          <w:kern w:val="0"/>
          <w:sz w:val="24"/>
          <w:szCs w:val="24"/>
        </w:rPr>
        <w:t xml:space="preserve">　二、技术性业务流程外包服务（BPO）</w:t>
      </w:r>
    </w:p>
    <w:tbl>
      <w:tblPr>
        <w:tblW w:w="0" w:type="auto"/>
        <w:jc w:val="center"/>
        <w:tblCellMar>
          <w:left w:w="0" w:type="dxa"/>
          <w:right w:w="0" w:type="dxa"/>
        </w:tblCellMar>
        <w:tblLook w:val="04A0" w:firstRow="1" w:lastRow="0" w:firstColumn="1" w:lastColumn="0" w:noHBand="0" w:noVBand="1"/>
      </w:tblPr>
      <w:tblGrid>
        <w:gridCol w:w="1956"/>
        <w:gridCol w:w="4896"/>
      </w:tblGrid>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b/>
                <w:bCs/>
                <w:color w:val="333333"/>
                <w:kern w:val="0"/>
                <w:sz w:val="18"/>
                <w:szCs w:val="18"/>
              </w:rPr>
              <w:t>类别</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r w:rsidRPr="003F64CD">
              <w:rPr>
                <w:rFonts w:ascii="微软雅黑" w:eastAsia="微软雅黑" w:hAnsi="微软雅黑" w:cs="宋体" w:hint="eastAsia"/>
                <w:b/>
                <w:bCs/>
                <w:color w:val="333333"/>
                <w:kern w:val="0"/>
                <w:sz w:val="18"/>
                <w:szCs w:val="18"/>
              </w:rPr>
              <w:t>适用范围</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企业业务流程设计服务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为客户企业提供内部管理、业务运作等流程设计服务。</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企业内部管理服务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企业运营服务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667609" w:rsidRPr="003F64CD" w:rsidTr="00667609">
        <w:trPr>
          <w:jc w:val="center"/>
        </w:trPr>
        <w:tc>
          <w:tcPr>
            <w:tcW w:w="195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企业供应链管理服务</w:t>
            </w:r>
          </w:p>
        </w:tc>
        <w:tc>
          <w:tcPr>
            <w:tcW w:w="4896"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为客户企业提供采购、物流的整体方案设计及数据库服务。</w:t>
            </w:r>
          </w:p>
        </w:tc>
      </w:tr>
    </w:tbl>
    <w:p w:rsidR="00667609" w:rsidRPr="003F64CD" w:rsidRDefault="00667609" w:rsidP="00667609">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w:t>
      </w:r>
      <w:r w:rsidRPr="003F64CD">
        <w:rPr>
          <w:rFonts w:ascii="宋体" w:eastAsia="宋体" w:hAnsi="宋体" w:cs="宋体" w:hint="eastAsia"/>
          <w:b/>
          <w:bCs/>
          <w:color w:val="333333"/>
          <w:kern w:val="0"/>
          <w:sz w:val="24"/>
          <w:szCs w:val="24"/>
        </w:rPr>
        <w:t>三、技术性知识流程外包服务（KPO）</w:t>
      </w:r>
    </w:p>
    <w:tbl>
      <w:tblPr>
        <w:tblW w:w="0" w:type="auto"/>
        <w:jc w:val="center"/>
        <w:tblCellMar>
          <w:left w:w="0" w:type="dxa"/>
          <w:right w:w="0" w:type="dxa"/>
        </w:tblCellMar>
        <w:tblLook w:val="04A0" w:firstRow="1" w:lastRow="0" w:firstColumn="1" w:lastColumn="0" w:noHBand="0" w:noVBand="1"/>
      </w:tblPr>
      <w:tblGrid>
        <w:gridCol w:w="6852"/>
      </w:tblGrid>
      <w:tr w:rsidR="00667609" w:rsidRPr="003F64CD" w:rsidTr="00667609">
        <w:trPr>
          <w:jc w:val="center"/>
        </w:trPr>
        <w:tc>
          <w:tcPr>
            <w:tcW w:w="6852"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center"/>
              <w:rPr>
                <w:rFonts w:ascii="微软雅黑" w:eastAsia="微软雅黑" w:hAnsi="微软雅黑" w:cs="宋体"/>
                <w:color w:val="333333"/>
                <w:kern w:val="0"/>
                <w:sz w:val="18"/>
                <w:szCs w:val="18"/>
              </w:rPr>
            </w:pPr>
            <w:bookmarkStart w:id="1" w:name="_GoBack"/>
            <w:r w:rsidRPr="003F64CD">
              <w:rPr>
                <w:rFonts w:ascii="微软雅黑" w:eastAsia="微软雅黑" w:hAnsi="微软雅黑" w:cs="宋体" w:hint="eastAsia"/>
                <w:color w:val="333333"/>
                <w:kern w:val="0"/>
                <w:sz w:val="18"/>
                <w:szCs w:val="18"/>
              </w:rPr>
              <w:t xml:space="preserve">　　</w:t>
            </w:r>
            <w:r w:rsidRPr="003F64CD">
              <w:rPr>
                <w:rFonts w:ascii="微软雅黑" w:eastAsia="微软雅黑" w:hAnsi="微软雅黑" w:cs="宋体" w:hint="eastAsia"/>
                <w:b/>
                <w:bCs/>
                <w:color w:val="333333"/>
                <w:kern w:val="0"/>
                <w:sz w:val="18"/>
                <w:szCs w:val="18"/>
              </w:rPr>
              <w:t>适用范围</w:t>
            </w:r>
          </w:p>
        </w:tc>
      </w:tr>
      <w:tr w:rsidR="00667609" w:rsidRPr="003F64CD" w:rsidTr="00667609">
        <w:trPr>
          <w:jc w:val="center"/>
        </w:trPr>
        <w:tc>
          <w:tcPr>
            <w:tcW w:w="6852" w:type="dxa"/>
            <w:tcBorders>
              <w:top w:val="outset" w:sz="6" w:space="0" w:color="000000"/>
              <w:left w:val="outset" w:sz="6" w:space="0" w:color="000000"/>
              <w:bottom w:val="outset" w:sz="6" w:space="0" w:color="000000"/>
              <w:right w:val="outset" w:sz="6" w:space="0" w:color="000000"/>
            </w:tcBorders>
            <w:vAlign w:val="center"/>
            <w:hideMark/>
          </w:tcPr>
          <w:p w:rsidR="00667609" w:rsidRPr="003F64CD" w:rsidRDefault="00667609" w:rsidP="00BB13E1">
            <w:pPr>
              <w:widowControl/>
              <w:spacing w:line="420" w:lineRule="atLeast"/>
              <w:jc w:val="left"/>
              <w:rPr>
                <w:rFonts w:ascii="微软雅黑" w:eastAsia="微软雅黑" w:hAnsi="微软雅黑" w:cs="宋体"/>
                <w:color w:val="333333"/>
                <w:kern w:val="0"/>
                <w:sz w:val="18"/>
                <w:szCs w:val="18"/>
              </w:rPr>
            </w:pPr>
            <w:r w:rsidRPr="003F64CD">
              <w:rPr>
                <w:rFonts w:ascii="微软雅黑" w:eastAsia="微软雅黑" w:hAnsi="微软雅黑" w:cs="宋体" w:hint="eastAsia"/>
                <w:color w:val="333333"/>
                <w:kern w:val="0"/>
                <w:sz w:val="18"/>
                <w:szCs w:val="18"/>
              </w:rPr>
              <w:t xml:space="preserve">　　知识产权研究、医药和生物技术研发和测试、产品技术研发、工业设计、分析学和</w:t>
            </w:r>
            <w:r w:rsidRPr="003F64CD">
              <w:rPr>
                <w:rFonts w:ascii="微软雅黑" w:eastAsia="微软雅黑" w:hAnsi="微软雅黑" w:cs="宋体" w:hint="eastAsia"/>
                <w:color w:val="333333"/>
                <w:kern w:val="0"/>
                <w:sz w:val="18"/>
                <w:szCs w:val="18"/>
              </w:rPr>
              <w:lastRenderedPageBreak/>
              <w:t>数据挖掘、</w:t>
            </w:r>
            <w:proofErr w:type="gramStart"/>
            <w:r w:rsidRPr="003F64CD">
              <w:rPr>
                <w:rFonts w:ascii="微软雅黑" w:eastAsia="微软雅黑" w:hAnsi="微软雅黑" w:cs="宋体" w:hint="eastAsia"/>
                <w:color w:val="333333"/>
                <w:kern w:val="0"/>
                <w:sz w:val="18"/>
                <w:szCs w:val="18"/>
              </w:rPr>
              <w:t>动漫及网游设计</w:t>
            </w:r>
            <w:proofErr w:type="gramEnd"/>
            <w:r w:rsidRPr="003F64CD">
              <w:rPr>
                <w:rFonts w:ascii="微软雅黑" w:eastAsia="微软雅黑" w:hAnsi="微软雅黑" w:cs="宋体" w:hint="eastAsia"/>
                <w:color w:val="333333"/>
                <w:kern w:val="0"/>
                <w:sz w:val="18"/>
                <w:szCs w:val="18"/>
              </w:rPr>
              <w:t>研发、教育课件研发、工程设计等领域。</w:t>
            </w:r>
          </w:p>
        </w:tc>
      </w:tr>
      <w:bookmarkEnd w:id="1"/>
    </w:tbl>
    <w:p w:rsidR="00560F0F" w:rsidRPr="00667609" w:rsidRDefault="00560F0F" w:rsidP="00667609"/>
    <w:sectPr w:rsidR="00560F0F" w:rsidRPr="00667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667609"/>
    <w:rsid w:val="007C71DC"/>
    <w:rsid w:val="008050A2"/>
    <w:rsid w:val="009B5D7F"/>
    <w:rsid w:val="00BC65B1"/>
    <w:rsid w:val="00D759FC"/>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55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2588</Characters>
  <Application>Microsoft Office Word</Application>
  <DocSecurity>0</DocSecurity>
  <Lines>21</Lines>
  <Paragraphs>6</Paragraphs>
  <ScaleCrop>false</ScaleCrop>
  <Company>CHINA</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2019-04-29T01:29:00Z</dcterms:created>
  <dcterms:modified xsi:type="dcterms:W3CDTF">2019-04-29T01:29:00Z</dcterms:modified>
</cp:coreProperties>
</file>