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6C" w:rsidRPr="00975259" w:rsidRDefault="00745B6C" w:rsidP="00745B6C">
      <w:pPr>
        <w:keepNext/>
        <w:keepLines/>
        <w:spacing w:before="260" w:after="260" w:line="415" w:lineRule="auto"/>
        <w:outlineLvl w:val="1"/>
        <w:rPr>
          <w:rFonts w:ascii="宋体" w:eastAsia="宋体" w:hAnsi="宋体" w:cs="Times New Roman"/>
          <w:b/>
          <w:bCs/>
          <w:color w:val="FF0000"/>
          <w:sz w:val="36"/>
          <w:szCs w:val="36"/>
        </w:rPr>
      </w:pPr>
      <w:bookmarkStart w:id="0" w:name="_Toc7397976"/>
      <w:r w:rsidRPr="00975259">
        <w:rPr>
          <w:rFonts w:ascii="宋体" w:eastAsia="宋体" w:hAnsi="宋体" w:cs="Times New Roman" w:hint="eastAsia"/>
          <w:b/>
          <w:bCs/>
          <w:color w:val="FF0000"/>
          <w:sz w:val="36"/>
          <w:szCs w:val="36"/>
        </w:rPr>
        <w:t>55《国家税务总局关于进一步完善固定资产加速折旧企业所得税政策有关问题的公告》</w:t>
      </w:r>
      <w:bookmarkEnd w:id="0"/>
    </w:p>
    <w:p w:rsidR="00745B6C" w:rsidRPr="00C4089A" w:rsidRDefault="00745B6C" w:rsidP="00745B6C">
      <w:pPr>
        <w:pStyle w:val="a3"/>
        <w:shd w:val="clear" w:color="auto" w:fill="FFFFFF"/>
        <w:spacing w:before="0" w:beforeAutospacing="0" w:after="300" w:afterAutospacing="0"/>
        <w:jc w:val="center"/>
        <w:rPr>
          <w:rFonts w:asciiTheme="minorEastAsia" w:eastAsiaTheme="minorEastAsia" w:hAnsiTheme="minorEastAsia"/>
          <w:color w:val="FF0000"/>
        </w:rPr>
      </w:pPr>
      <w:r w:rsidRPr="00C4089A">
        <w:rPr>
          <w:rFonts w:asciiTheme="minorEastAsia" w:eastAsiaTheme="minorEastAsia" w:hAnsiTheme="minorEastAsia" w:hint="eastAsia"/>
          <w:color w:val="333333"/>
        </w:rPr>
        <w:t>国家税务总局公告2015年第68号</w:t>
      </w:r>
    </w:p>
    <w:p w:rsidR="00745B6C" w:rsidRPr="00C4089A" w:rsidRDefault="00745B6C" w:rsidP="00745B6C">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为落实国务院扩大固定资产加速折旧优惠范围的决定，根据《中华人民共和国企业所得税法》（以下简称企业所得税法）及其实施条例（以下简称实施条例）、《财政部 国家税务总局关于进一步完善固定资产加速折旧企业所得税政策的通知》（财税〔2015〕106号）规定，现就进一步完善固定资产加速折旧企业所得税政策有关问题公告如下：</w:t>
      </w:r>
      <w:r w:rsidRPr="00C4089A">
        <w:rPr>
          <w:rFonts w:ascii="宋体" w:eastAsia="宋体" w:hAnsi="宋体" w:cs="宋体" w:hint="eastAsia"/>
          <w:color w:val="333333"/>
          <w:kern w:val="0"/>
          <w:sz w:val="24"/>
          <w:szCs w:val="24"/>
        </w:rPr>
        <w:br/>
        <w:t xml:space="preserve">　　一、对轻工、纺织、机械、汽车等四个领域重点行业（以下简称四个领域重点行业）企业2015年1月1日后新购进的固定资产（包括自行建造，下同），允许缩短折旧年限或采取加速折旧方法。</w:t>
      </w:r>
      <w:r w:rsidRPr="00C4089A">
        <w:rPr>
          <w:rFonts w:ascii="宋体" w:eastAsia="宋体" w:hAnsi="宋体" w:cs="宋体" w:hint="eastAsia"/>
          <w:color w:val="333333"/>
          <w:kern w:val="0"/>
          <w:sz w:val="24"/>
          <w:szCs w:val="24"/>
        </w:rPr>
        <w:br/>
        <w:t xml:space="preserve">　　四个领域重点行业按照财税〔2015〕106号附件“轻工、纺织、机械、汽车四个领域重点行业范围”确定。今后国家有关部门更新国民经济行业分类与代码，从其规定。</w:t>
      </w:r>
      <w:r w:rsidRPr="00C4089A">
        <w:rPr>
          <w:rFonts w:ascii="宋体" w:eastAsia="宋体" w:hAnsi="宋体" w:cs="宋体" w:hint="eastAsia"/>
          <w:color w:val="333333"/>
          <w:kern w:val="0"/>
          <w:sz w:val="24"/>
          <w:szCs w:val="24"/>
        </w:rPr>
        <w:br/>
        <w:t xml:space="preserve">　　四个领域重点行业企业是指以上述行业业务为主营业务，其固定资产投入使用当年的主营业务收入占企业收入总额50%（不含）以上的企业。所称收入总额，是指企业所得税法第六条规定的收入总额。</w:t>
      </w:r>
      <w:r w:rsidRPr="00C4089A">
        <w:rPr>
          <w:rFonts w:ascii="宋体" w:eastAsia="宋体" w:hAnsi="宋体" w:cs="宋体" w:hint="eastAsia"/>
          <w:color w:val="333333"/>
          <w:kern w:val="0"/>
          <w:sz w:val="24"/>
          <w:szCs w:val="24"/>
        </w:rPr>
        <w:br/>
        <w:t xml:space="preserve">　　二、对四个领域重点行业小型微利企业2015年1月1日后新购进的研发和生产经营共用的仪器、设备，单位价值不超过100万元（含）的，允许在计算应纳税所得额时一次性全额扣除；单位价值超过100万元的，允许缩短折旧年限或采取加速折旧方法。</w:t>
      </w:r>
      <w:r w:rsidRPr="00C4089A">
        <w:rPr>
          <w:rFonts w:ascii="宋体" w:eastAsia="宋体" w:hAnsi="宋体" w:cs="宋体" w:hint="eastAsia"/>
          <w:color w:val="333333"/>
          <w:kern w:val="0"/>
          <w:sz w:val="24"/>
          <w:szCs w:val="24"/>
        </w:rPr>
        <w:br/>
        <w:t xml:space="preserve">　　用于研发活动的仪器、设备范围口径，按照《国家税务总局关于印发〈企业研究开发费用税前扣除管理办法（试行）〉的通知》（国税发〔2008〕116号）或《科学技术部 财政部 国家税务总局关于印发〈高新技术企业认定管理工作指</w:t>
      </w:r>
      <w:r w:rsidRPr="00C4089A">
        <w:rPr>
          <w:rFonts w:ascii="宋体" w:eastAsia="宋体" w:hAnsi="宋体" w:cs="宋体" w:hint="eastAsia"/>
          <w:color w:val="333333"/>
          <w:kern w:val="0"/>
          <w:sz w:val="24"/>
          <w:szCs w:val="24"/>
        </w:rPr>
        <w:lastRenderedPageBreak/>
        <w:t>引〉的通知》（国科发火〔2008〕362号）规定执行。</w:t>
      </w:r>
      <w:r w:rsidRPr="00C4089A">
        <w:rPr>
          <w:rFonts w:ascii="宋体" w:eastAsia="宋体" w:hAnsi="宋体" w:cs="宋体" w:hint="eastAsia"/>
          <w:color w:val="333333"/>
          <w:kern w:val="0"/>
          <w:sz w:val="24"/>
          <w:szCs w:val="24"/>
        </w:rPr>
        <w:br/>
        <w:t xml:space="preserve">　　小型微利企业，是指企业所得税法第二十八条规定的小型微利企业。</w:t>
      </w:r>
      <w:r w:rsidRPr="00C4089A">
        <w:rPr>
          <w:rFonts w:ascii="宋体" w:eastAsia="宋体" w:hAnsi="宋体" w:cs="宋体" w:hint="eastAsia"/>
          <w:color w:val="333333"/>
          <w:kern w:val="0"/>
          <w:sz w:val="24"/>
          <w:szCs w:val="24"/>
        </w:rPr>
        <w:br/>
        <w:t xml:space="preserve">　　三、企业按本公告第一条、第二条规定缩短折旧年限的，对其购置的新固定资产，最低折旧年限不得低于实施条例第六十条规定的折旧年限的60%；对其购置的已使用过的固定资产，最低折旧年限不得低于实施条例规定的最低折旧年限减去已使用年限后剩余年限的60%。最低折旧年限一经确定，不得改变。</w:t>
      </w:r>
      <w:r w:rsidRPr="00C4089A">
        <w:rPr>
          <w:rFonts w:ascii="宋体" w:eastAsia="宋体" w:hAnsi="宋体" w:cs="宋体" w:hint="eastAsia"/>
          <w:color w:val="333333"/>
          <w:kern w:val="0"/>
          <w:sz w:val="24"/>
          <w:szCs w:val="24"/>
        </w:rPr>
        <w:br/>
        <w:t xml:space="preserve">　　四、企业按本公告第一条、第二条规定采取加速折旧方法的，可以采用双倍余额递减</w:t>
      </w:r>
      <w:proofErr w:type="gramStart"/>
      <w:r w:rsidRPr="00C4089A">
        <w:rPr>
          <w:rFonts w:ascii="宋体" w:eastAsia="宋体" w:hAnsi="宋体" w:cs="宋体" w:hint="eastAsia"/>
          <w:color w:val="333333"/>
          <w:kern w:val="0"/>
          <w:sz w:val="24"/>
          <w:szCs w:val="24"/>
        </w:rPr>
        <w:t>法或者</w:t>
      </w:r>
      <w:proofErr w:type="gramEnd"/>
      <w:r w:rsidRPr="00C4089A">
        <w:rPr>
          <w:rFonts w:ascii="宋体" w:eastAsia="宋体" w:hAnsi="宋体" w:cs="宋体" w:hint="eastAsia"/>
          <w:color w:val="333333"/>
          <w:kern w:val="0"/>
          <w:sz w:val="24"/>
          <w:szCs w:val="24"/>
        </w:rPr>
        <w:t>年数总和法。加速折旧方法一经确定，不得改变。</w:t>
      </w:r>
      <w:r w:rsidRPr="00C4089A">
        <w:rPr>
          <w:rFonts w:ascii="宋体" w:eastAsia="宋体" w:hAnsi="宋体" w:cs="宋体" w:hint="eastAsia"/>
          <w:color w:val="333333"/>
          <w:kern w:val="0"/>
          <w:sz w:val="24"/>
          <w:szCs w:val="24"/>
        </w:rPr>
        <w:br/>
        <w:t xml:space="preserve">　　双倍余额递减</w:t>
      </w:r>
      <w:proofErr w:type="gramStart"/>
      <w:r w:rsidRPr="00C4089A">
        <w:rPr>
          <w:rFonts w:ascii="宋体" w:eastAsia="宋体" w:hAnsi="宋体" w:cs="宋体" w:hint="eastAsia"/>
          <w:color w:val="333333"/>
          <w:kern w:val="0"/>
          <w:sz w:val="24"/>
          <w:szCs w:val="24"/>
        </w:rPr>
        <w:t>法或者</w:t>
      </w:r>
      <w:proofErr w:type="gramEnd"/>
      <w:r w:rsidRPr="00C4089A">
        <w:rPr>
          <w:rFonts w:ascii="宋体" w:eastAsia="宋体" w:hAnsi="宋体" w:cs="宋体" w:hint="eastAsia"/>
          <w:color w:val="333333"/>
          <w:kern w:val="0"/>
          <w:sz w:val="24"/>
          <w:szCs w:val="24"/>
        </w:rPr>
        <w:t>年数总和法，按照《国家税务总局关于固定资产加速折旧所得税处理有关问题的通知》（国税发〔2009〕81号）第四条的规定执行。</w:t>
      </w:r>
      <w:r w:rsidRPr="00C4089A">
        <w:rPr>
          <w:rFonts w:ascii="宋体" w:eastAsia="宋体" w:hAnsi="宋体" w:cs="宋体" w:hint="eastAsia"/>
          <w:color w:val="333333"/>
          <w:kern w:val="0"/>
          <w:sz w:val="24"/>
          <w:szCs w:val="24"/>
        </w:rPr>
        <w:br/>
        <w:t xml:space="preserve">　　五、企业的固定资产既符合本公告优惠政策条件，又符合《国家税务总局关于企业固定资产加速折旧所得税处理有关问题的通知》（国税发〔2009〕81号）、《财政部 国家税务总局关于进一步鼓励软件产业和集成电路产业发展企业所得税政策的通知》（财税〔2012〕27号）中有关加速折旧优惠政策条件，可由企业选择其中一项加速折旧优惠政策执行，且一经选择，不得改变。</w:t>
      </w:r>
      <w:r w:rsidRPr="00C4089A">
        <w:rPr>
          <w:rFonts w:ascii="宋体" w:eastAsia="宋体" w:hAnsi="宋体" w:cs="宋体" w:hint="eastAsia"/>
          <w:color w:val="333333"/>
          <w:kern w:val="0"/>
          <w:sz w:val="24"/>
          <w:szCs w:val="24"/>
        </w:rPr>
        <w:br/>
        <w:t xml:space="preserve">　　六、企业应将购进固定资产的发票、记账凭证等有关资料留存备查，并建立台账，准确反映税法与会计差异情况。</w:t>
      </w:r>
      <w:r w:rsidRPr="00C4089A">
        <w:rPr>
          <w:rFonts w:ascii="宋体" w:eastAsia="宋体" w:hAnsi="宋体" w:cs="宋体" w:hint="eastAsia"/>
          <w:color w:val="333333"/>
          <w:kern w:val="0"/>
          <w:sz w:val="24"/>
          <w:szCs w:val="24"/>
        </w:rPr>
        <w:br/>
        <w:t xml:space="preserve">　　七、本公告适用于2015年及以后纳税年度。企业2015年前3季度按本公告规定未能享受加速折旧优惠的，可将前3季度应享受的加速折旧部分，在2015年第4季度企业所得税预缴申报时享受，或者在2015年度企业所得税汇算清缴时统一享受。</w:t>
      </w:r>
      <w:r w:rsidRPr="00C4089A">
        <w:rPr>
          <w:rFonts w:ascii="宋体" w:eastAsia="宋体" w:hAnsi="宋体" w:cs="宋体" w:hint="eastAsia"/>
          <w:color w:val="333333"/>
          <w:kern w:val="0"/>
          <w:sz w:val="24"/>
          <w:szCs w:val="24"/>
        </w:rPr>
        <w:br/>
        <w:t xml:space="preserve">　　特此公告。</w:t>
      </w:r>
      <w:r w:rsidRPr="00C4089A">
        <w:rPr>
          <w:rFonts w:ascii="宋体" w:eastAsia="宋体" w:hAnsi="宋体" w:cs="宋体" w:hint="eastAsia"/>
          <w:color w:val="333333"/>
          <w:kern w:val="0"/>
          <w:sz w:val="24"/>
          <w:szCs w:val="24"/>
        </w:rPr>
        <w:br/>
        <w:t xml:space="preserve">　　　　</w:t>
      </w:r>
    </w:p>
    <w:p w:rsidR="00745B6C" w:rsidRPr="00C4089A" w:rsidRDefault="00745B6C" w:rsidP="00745B6C">
      <w:pPr>
        <w:widowControl/>
        <w:shd w:val="clear" w:color="auto" w:fill="FFFFFF"/>
        <w:spacing w:line="540" w:lineRule="atLeast"/>
        <w:jc w:val="righ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国家税务总局</w:t>
      </w:r>
      <w:r w:rsidRPr="00C4089A">
        <w:rPr>
          <w:rFonts w:ascii="宋体" w:eastAsia="宋体" w:hAnsi="宋体" w:cs="宋体" w:hint="eastAsia"/>
          <w:color w:val="333333"/>
          <w:kern w:val="0"/>
          <w:sz w:val="24"/>
          <w:szCs w:val="24"/>
        </w:rPr>
        <w:br/>
        <w:t>2015年9月25日</w:t>
      </w:r>
    </w:p>
    <w:p w:rsidR="00560F0F" w:rsidRPr="00745B6C" w:rsidRDefault="00560F0F" w:rsidP="00745B6C">
      <w:bookmarkStart w:id="1" w:name="_GoBack"/>
      <w:bookmarkEnd w:id="1"/>
    </w:p>
    <w:sectPr w:rsidR="00560F0F" w:rsidRPr="00745B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00E93"/>
    <w:multiLevelType w:val="multilevel"/>
    <w:tmpl w:val="AD0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70532D"/>
    <w:rsid w:val="0070727A"/>
    <w:rsid w:val="00732E74"/>
    <w:rsid w:val="00745B6C"/>
    <w:rsid w:val="0076721A"/>
    <w:rsid w:val="007C71DC"/>
    <w:rsid w:val="007E1461"/>
    <w:rsid w:val="008050A2"/>
    <w:rsid w:val="008137D7"/>
    <w:rsid w:val="00830E35"/>
    <w:rsid w:val="00951504"/>
    <w:rsid w:val="009B5D7F"/>
    <w:rsid w:val="009C0AEF"/>
    <w:rsid w:val="00A32059"/>
    <w:rsid w:val="00A404A4"/>
    <w:rsid w:val="00A41EE1"/>
    <w:rsid w:val="00AC03D2"/>
    <w:rsid w:val="00B16DD1"/>
    <w:rsid w:val="00B43C4D"/>
    <w:rsid w:val="00B44030"/>
    <w:rsid w:val="00B93B86"/>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6C"/>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6C"/>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Company>CHINA</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2019-04-29T02:03:00Z</dcterms:created>
  <dcterms:modified xsi:type="dcterms:W3CDTF">2019-04-29T02:03:00Z</dcterms:modified>
</cp:coreProperties>
</file>