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3A3" w:rsidRPr="00975259" w:rsidRDefault="00F423A3" w:rsidP="00F423A3">
      <w:pPr>
        <w:keepNext/>
        <w:keepLines/>
        <w:spacing w:before="260" w:after="260" w:line="415" w:lineRule="auto"/>
        <w:outlineLvl w:val="1"/>
        <w:rPr>
          <w:rFonts w:ascii="宋体" w:eastAsia="宋体" w:hAnsi="宋体" w:cs="Times New Roman"/>
          <w:b/>
          <w:bCs/>
          <w:color w:val="FF0000"/>
          <w:sz w:val="36"/>
          <w:szCs w:val="36"/>
        </w:rPr>
      </w:pPr>
      <w:bookmarkStart w:id="0" w:name="_Toc7397980"/>
      <w:r w:rsidRPr="00975259">
        <w:rPr>
          <w:rFonts w:ascii="宋体" w:eastAsia="宋体" w:hAnsi="宋体" w:cs="Times New Roman" w:hint="eastAsia"/>
          <w:b/>
          <w:bCs/>
          <w:color w:val="FF0000"/>
          <w:sz w:val="36"/>
          <w:szCs w:val="36"/>
        </w:rPr>
        <w:t>59《财政部 国家税务总局 商务部 科技部 国家发展改革委关于完善技术先进型服务企业有关企业所得税政策问题的通知》</w:t>
      </w:r>
      <w:bookmarkEnd w:id="0"/>
    </w:p>
    <w:p w:rsidR="00F423A3" w:rsidRDefault="00F423A3" w:rsidP="00F423A3">
      <w:pPr>
        <w:pStyle w:val="a3"/>
        <w:shd w:val="clear" w:color="auto" w:fill="FFFFFF"/>
        <w:spacing w:before="0" w:beforeAutospacing="0" w:after="300" w:afterAutospacing="0"/>
        <w:jc w:val="center"/>
        <w:rPr>
          <w:rFonts w:asciiTheme="minorEastAsia" w:eastAsiaTheme="minorEastAsia" w:hAnsiTheme="minorEastAsia"/>
          <w:color w:val="333333"/>
        </w:rPr>
      </w:pPr>
      <w:r w:rsidRPr="00E81766">
        <w:rPr>
          <w:rFonts w:asciiTheme="minorEastAsia" w:eastAsiaTheme="minorEastAsia" w:hAnsiTheme="minorEastAsia" w:hint="eastAsia"/>
          <w:color w:val="333333"/>
        </w:rPr>
        <w:t>财税〔2014〕59号</w:t>
      </w:r>
    </w:p>
    <w:p w:rsidR="00F423A3" w:rsidRDefault="00F423A3" w:rsidP="00F423A3">
      <w:pPr>
        <w:pStyle w:val="a3"/>
        <w:shd w:val="clear" w:color="auto" w:fill="FFFFFF"/>
        <w:spacing w:before="0" w:beforeAutospacing="0" w:after="300" w:afterAutospacing="0"/>
        <w:jc w:val="both"/>
        <w:rPr>
          <w:color w:val="333333"/>
        </w:rPr>
      </w:pPr>
      <w:r>
        <w:rPr>
          <w:rFonts w:hint="eastAsia"/>
          <w:color w:val="333333"/>
        </w:rPr>
        <w:t>北京、天津、大连、黑龙江、上海、江苏、浙江、安徽、厦门、江西、山东、湖北、湖南、广东、深圳、重庆、四川、陕西省（直辖市、计划单列市）财政厅（局）、国家税务局、地方税务局、商务主管部门、科技厅（委、局）、发展改革委：</w:t>
      </w:r>
      <w:r>
        <w:rPr>
          <w:rFonts w:hint="eastAsia"/>
          <w:color w:val="333333"/>
        </w:rPr>
        <w:br/>
        <w:t xml:space="preserve">　　为进一步推动技术先进型服务企业的发展，促进企业技术创新和技术服务能力的提升，增强我国服务业的综合竞争力，经国务院批准，现就技术先进型服务企业有关企业所得税政策问题通知如下：</w:t>
      </w:r>
      <w:r>
        <w:rPr>
          <w:rFonts w:hint="eastAsia"/>
          <w:color w:val="333333"/>
        </w:rPr>
        <w:br/>
        <w:t xml:space="preserve">　　一、自2014年1月1日起至2018年12月31日止，在北京、天津、上海、重庆、大连、深圳、广州、武汉、哈尔滨、成都、南京、西安、济南、杭州、合肥、南昌、长沙、大庆、苏州、无锡、厦门等21个中国服务外包示范城市（以下简称示范城市）继续实行以下企业所得税优惠政策：</w:t>
      </w:r>
      <w:r>
        <w:rPr>
          <w:rFonts w:hint="eastAsia"/>
          <w:color w:val="333333"/>
        </w:rPr>
        <w:br/>
        <w:t xml:space="preserve">　　1.对经认定的技术先进型服务企业，减按15%的税率征收企业所得税。</w:t>
      </w:r>
      <w:r>
        <w:rPr>
          <w:rFonts w:hint="eastAsia"/>
          <w:color w:val="333333"/>
        </w:rPr>
        <w:br/>
        <w:t xml:space="preserve">　　2.经认定的技术先进型服务企业发生的职工教育经费支出，不超过工资薪金总额8%的部分，准予在计算应纳税所得额时扣除；超过部分，准予在以后纳税年度结转扣除。</w:t>
      </w:r>
      <w:r>
        <w:rPr>
          <w:rFonts w:hint="eastAsia"/>
          <w:color w:val="333333"/>
        </w:rPr>
        <w:br/>
        <w:t xml:space="preserve">　　二、享受本通知第一条规定的企业所得税优惠政策的技术先进型服务企业必须同时符合以下条件：</w:t>
      </w:r>
      <w:r>
        <w:rPr>
          <w:rFonts w:hint="eastAsia"/>
          <w:color w:val="333333"/>
        </w:rPr>
        <w:br/>
        <w:t xml:space="preserve">　　1.从事《技术先进型服务业务认定范围（试行）》（详见附件）中的一种或多种技术先进型服务业务，采用先进技术或具备较强的研发能力；</w:t>
      </w:r>
      <w:r>
        <w:rPr>
          <w:rFonts w:hint="eastAsia"/>
          <w:color w:val="333333"/>
        </w:rPr>
        <w:br/>
        <w:t xml:space="preserve">　　2.企业的注册地及生产经营地在示范城市（含所辖区、县、县级市等全部行政区划）内；</w:t>
      </w:r>
      <w:r>
        <w:rPr>
          <w:rFonts w:hint="eastAsia"/>
          <w:color w:val="333333"/>
        </w:rPr>
        <w:br/>
        <w:t xml:space="preserve">　　3.企业具有法人资格；</w:t>
      </w:r>
      <w:r>
        <w:rPr>
          <w:rFonts w:hint="eastAsia"/>
          <w:color w:val="333333"/>
        </w:rPr>
        <w:br/>
        <w:t xml:space="preserve">　　4.具有大专以上学历的员工占企业职工总数的50%以上；</w:t>
      </w:r>
      <w:r>
        <w:rPr>
          <w:rFonts w:hint="eastAsia"/>
          <w:color w:val="333333"/>
        </w:rPr>
        <w:br/>
        <w:t xml:space="preserve">　　5.从事《技术先进型服务业务认定范围（试行）》中的技术先进型服务业务取得的收入占企业当年总收入的50%以上。</w:t>
      </w:r>
      <w:r>
        <w:rPr>
          <w:rFonts w:hint="eastAsia"/>
          <w:color w:val="333333"/>
        </w:rPr>
        <w:br/>
        <w:t xml:space="preserve">　　6.从事离岸服务外包业务取得的收入不低于企业当年总收入的35%。</w:t>
      </w:r>
      <w:r>
        <w:rPr>
          <w:rFonts w:hint="eastAsia"/>
          <w:color w:val="333333"/>
        </w:rPr>
        <w:br/>
        <w:t xml:space="preserve">　　从事离岸服务外包业务取得的收入，是指企业根据境外单位与其签订的委托合同，由本企业或其直接转包的企业为境外单位提供《技术先进型服务业务认定范围（试行）》中所规定的信息技术外包服务（ITO）、技术性业务流程外包服务（BPO）和技术性知识流程外包服务（KPO），而从上述境外单位取得的收入。</w:t>
      </w:r>
      <w:r>
        <w:rPr>
          <w:rFonts w:hint="eastAsia"/>
          <w:color w:val="333333"/>
        </w:rPr>
        <w:br/>
        <w:t xml:space="preserve">　　三、技术先进型服务企业的认定管理</w:t>
      </w:r>
      <w:r>
        <w:rPr>
          <w:rFonts w:hint="eastAsia"/>
          <w:color w:val="333333"/>
        </w:rPr>
        <w:br/>
        <w:t xml:space="preserve">　　1.示范城市人民政府科技部门会同本级商务、财政、税务和发展改革部门根据本通知规定制定具体管理办法，并报科技部、商务部、财政部、国家税务总局和国家发展改革委及所在省（直辖市、计划单列市）科技、商务、财政、税务和发展改革部门备案。</w:t>
      </w:r>
      <w:r>
        <w:rPr>
          <w:rFonts w:hint="eastAsia"/>
          <w:color w:val="333333"/>
        </w:rPr>
        <w:br/>
        <w:t xml:space="preserve">　　示范城市所在省（直辖市、计划单列市）科技部门会同本级商务、财政、税</w:t>
      </w:r>
      <w:r>
        <w:rPr>
          <w:rFonts w:hint="eastAsia"/>
          <w:color w:val="333333"/>
        </w:rPr>
        <w:lastRenderedPageBreak/>
        <w:t>务和发展改革部门负责指导所辖示范城市的技术先进型服务企业认定管理工作。</w:t>
      </w:r>
      <w:r>
        <w:rPr>
          <w:rFonts w:hint="eastAsia"/>
          <w:color w:val="333333"/>
        </w:rPr>
        <w:br/>
        <w:t xml:space="preserve">　　2.符合条件的技术先进型服务企业应向所在示范城市人民政府科技部门提出申请，由示范城市人民政府科技部门会同本级商务、财政、税务和发展改革部门联合评审并发文认定。认定企业名单应及时报科技部、商务部、财政部、国家税务总局和国家发展改革委及所在省（直辖市、计划单列市）科技、商务、财政、税务和发展改革部门备案。</w:t>
      </w:r>
      <w:r>
        <w:rPr>
          <w:rFonts w:hint="eastAsia"/>
          <w:color w:val="333333"/>
        </w:rPr>
        <w:br/>
        <w:t xml:space="preserve">　　3.经认定的技术先进型服务企业，持相关认定文件向当地主管税务机关办理享受本通知第一条规定的企业所得税优惠政策事宜。享受企业所得税优惠的技术先进型服务企业条件发生变化的，应当自发生变化之日起15日内向主管税务机关报告；不再符合享受税收优惠条件的，应当依法履行纳税义务。主管税务机关在执行税收优惠政策过程中，发现企业不具备技术先进型服务企业资格的，应暂停企业享受税收优惠，并提请认定机构复核。</w:t>
      </w:r>
      <w:r>
        <w:rPr>
          <w:rFonts w:hint="eastAsia"/>
          <w:color w:val="333333"/>
        </w:rPr>
        <w:br/>
        <w:t xml:space="preserve">　　4.示范城市人民政府科技、商务、财政、税务和发展改革部门及所在省（直辖市、计划单列市）科技、商务、财政、税务和发展改革部门对经认定并享受税收优惠政策的技术先进型服务企业应做好跟踪管理，对变更经营范围、合并、分立、转业、迁移的企业，如不符合认定条件的，应及时取消其享受税收优惠政策的资格。</w:t>
      </w:r>
      <w:r>
        <w:rPr>
          <w:rFonts w:hint="eastAsia"/>
          <w:color w:val="333333"/>
        </w:rPr>
        <w:br/>
        <w:t xml:space="preserve">　　四、示范城市人民政府财政、税务、商务、科技和发展改革部门要认真贯彻落实本通知的各项规定，切实搞好沟通与协作。在政策实施过程中发现的问题，要及时逐级反映上报财政部、国家税务总局、商务部、科技部和国家发展改革委。</w:t>
      </w:r>
      <w:r>
        <w:rPr>
          <w:rFonts w:hint="eastAsia"/>
          <w:color w:val="333333"/>
        </w:rPr>
        <w:br/>
        <w:t xml:space="preserve">　　五、《财政部 国家税务总局 商务部 科技部 国家发展改革委关于技术先进型服务企业有关企业所得税政策问题的通知》（财税[2010]65号）自2014年1月1日起废止。</w:t>
      </w:r>
      <w:r>
        <w:rPr>
          <w:rFonts w:hint="eastAsia"/>
          <w:color w:val="333333"/>
        </w:rPr>
        <w:br/>
        <w:t xml:space="preserve">　　附件：技术先进型服务业务认定范围（试行）</w:t>
      </w:r>
    </w:p>
    <w:p w:rsidR="00F423A3" w:rsidRDefault="00F423A3" w:rsidP="00F423A3">
      <w:pPr>
        <w:pStyle w:val="a3"/>
        <w:shd w:val="clear" w:color="auto" w:fill="FFFFFF"/>
        <w:spacing w:before="0" w:beforeAutospacing="0" w:after="300" w:afterAutospacing="0"/>
        <w:jc w:val="both"/>
        <w:rPr>
          <w:color w:val="333333"/>
        </w:rPr>
      </w:pPr>
    </w:p>
    <w:p w:rsidR="00560F0F" w:rsidRPr="00F423A3" w:rsidRDefault="00560F0F" w:rsidP="00F423A3">
      <w:bookmarkStart w:id="1" w:name="_GoBack"/>
      <w:bookmarkEnd w:id="1"/>
    </w:p>
    <w:sectPr w:rsidR="00560F0F" w:rsidRPr="00F423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0F1276"/>
    <w:rsid w:val="00115EA7"/>
    <w:rsid w:val="00161338"/>
    <w:rsid w:val="001C4F46"/>
    <w:rsid w:val="002834B5"/>
    <w:rsid w:val="002B6ED8"/>
    <w:rsid w:val="003079FD"/>
    <w:rsid w:val="003502E8"/>
    <w:rsid w:val="00414DFB"/>
    <w:rsid w:val="00466F03"/>
    <w:rsid w:val="00487221"/>
    <w:rsid w:val="00494042"/>
    <w:rsid w:val="004B56E7"/>
    <w:rsid w:val="004F06FC"/>
    <w:rsid w:val="00511B3B"/>
    <w:rsid w:val="00525CD6"/>
    <w:rsid w:val="00530FEA"/>
    <w:rsid w:val="00560F0F"/>
    <w:rsid w:val="00583C9F"/>
    <w:rsid w:val="005C24A0"/>
    <w:rsid w:val="005F762E"/>
    <w:rsid w:val="00605B74"/>
    <w:rsid w:val="00635650"/>
    <w:rsid w:val="006365C5"/>
    <w:rsid w:val="00647856"/>
    <w:rsid w:val="00667609"/>
    <w:rsid w:val="00686C6A"/>
    <w:rsid w:val="006A0FC8"/>
    <w:rsid w:val="0070532D"/>
    <w:rsid w:val="0070727A"/>
    <w:rsid w:val="00732E74"/>
    <w:rsid w:val="00745B6C"/>
    <w:rsid w:val="0076721A"/>
    <w:rsid w:val="007C71DC"/>
    <w:rsid w:val="007E1461"/>
    <w:rsid w:val="008050A2"/>
    <w:rsid w:val="008137D7"/>
    <w:rsid w:val="00830E35"/>
    <w:rsid w:val="00951504"/>
    <w:rsid w:val="009B5D7F"/>
    <w:rsid w:val="009C0AEF"/>
    <w:rsid w:val="00A32059"/>
    <w:rsid w:val="00A404A4"/>
    <w:rsid w:val="00A41EE1"/>
    <w:rsid w:val="00AC03D2"/>
    <w:rsid w:val="00B16DD1"/>
    <w:rsid w:val="00B43C4D"/>
    <w:rsid w:val="00B44030"/>
    <w:rsid w:val="00B93B86"/>
    <w:rsid w:val="00BC65B1"/>
    <w:rsid w:val="00BD2ABE"/>
    <w:rsid w:val="00C674B3"/>
    <w:rsid w:val="00CA6020"/>
    <w:rsid w:val="00D759FC"/>
    <w:rsid w:val="00E03EB6"/>
    <w:rsid w:val="00E26CDB"/>
    <w:rsid w:val="00EA59C0"/>
    <w:rsid w:val="00ED1FA6"/>
    <w:rsid w:val="00EF500B"/>
    <w:rsid w:val="00F15CC2"/>
    <w:rsid w:val="00F423A3"/>
    <w:rsid w:val="00F76860"/>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20"/>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20"/>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1593</Characters>
  <Application>Microsoft Office Word</Application>
  <DocSecurity>0</DocSecurity>
  <Lines>13</Lines>
  <Paragraphs>3</Paragraphs>
  <ScaleCrop>false</ScaleCrop>
  <Company>CHINA</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2019-04-29T02:05:00Z</dcterms:created>
  <dcterms:modified xsi:type="dcterms:W3CDTF">2019-04-29T02:05:00Z</dcterms:modified>
</cp:coreProperties>
</file>